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
        <w:autoSpaceDN w:val="0"/>
        <w:spacing w:line="580" w:lineRule="atLeast"/>
        <w:ind w:firstLine="600"/>
        <w:jc w:val="both"/>
      </w:pPr>
      <w:r>
        <w:rPr>
          <w:rFonts w:hint="eastAsia" w:ascii="仿宋_GB2312" w:eastAsia="仿宋_GB2312"/>
          <w:b/>
          <w:bCs/>
          <w:sz w:val="36"/>
          <w:szCs w:val="36"/>
        </w:rPr>
        <w:t xml:space="preserve"> </w:t>
      </w:r>
    </w:p>
    <w:p>
      <w:pPr>
        <w:pStyle w:val="21"/>
        <w:autoSpaceDN w:val="0"/>
        <w:spacing w:line="580" w:lineRule="atLeast"/>
        <w:ind w:firstLine="600"/>
        <w:jc w:val="both"/>
      </w:pPr>
      <w:r>
        <w:rPr>
          <w:rFonts w:hint="eastAsia" w:ascii="仿宋_GB2312" w:eastAsia="仿宋_GB2312"/>
          <w:b/>
          <w:bCs/>
          <w:sz w:val="36"/>
          <w:szCs w:val="36"/>
        </w:rPr>
        <w:t xml:space="preserve"> </w:t>
      </w:r>
    </w:p>
    <w:p>
      <w:pPr>
        <w:pStyle w:val="21"/>
        <w:autoSpaceDN w:val="0"/>
        <w:spacing w:line="580" w:lineRule="atLeast"/>
        <w:ind w:firstLine="600"/>
        <w:jc w:val="both"/>
      </w:pPr>
      <w:r>
        <w:rPr>
          <w:rFonts w:hint="eastAsia" w:ascii="仿宋_GB2312" w:eastAsia="仿宋_GB2312"/>
          <w:b/>
          <w:bCs/>
          <w:sz w:val="36"/>
          <w:szCs w:val="36"/>
        </w:rPr>
        <w:t xml:space="preserve"> </w:t>
      </w:r>
    </w:p>
    <w:p>
      <w:pPr>
        <w:pStyle w:val="21"/>
        <w:autoSpaceDN w:val="0"/>
        <w:ind w:firstLine="601"/>
        <w:jc w:val="center"/>
      </w:pPr>
      <w:r>
        <w:rPr>
          <w:rFonts w:hint="eastAsia" w:ascii="仿宋_GB2312" w:eastAsia="仿宋_GB2312"/>
          <w:b/>
          <w:bCs/>
          <w:sz w:val="44"/>
          <w:szCs w:val="44"/>
        </w:rPr>
        <w:t>内蒙古自治区呼伦贝尔市水利局</w:t>
      </w:r>
    </w:p>
    <w:p>
      <w:pPr>
        <w:pStyle w:val="21"/>
        <w:autoSpaceDN w:val="0"/>
        <w:ind w:firstLine="601"/>
        <w:jc w:val="center"/>
      </w:pPr>
      <w:r>
        <w:rPr>
          <w:rFonts w:hint="eastAsia" w:ascii="仿宋_GB2312" w:eastAsia="仿宋_GB2312"/>
          <w:b/>
          <w:bCs/>
          <w:sz w:val="44"/>
          <w:szCs w:val="44"/>
        </w:rPr>
        <w:t>2020年度决算公开报告</w:t>
      </w:r>
    </w:p>
    <w:p>
      <w:pPr>
        <w:pStyle w:val="21"/>
        <w:autoSpaceDN w:val="0"/>
        <w:spacing w:line="580" w:lineRule="atLeast"/>
        <w:ind w:firstLine="600"/>
        <w:jc w:val="both"/>
      </w:pPr>
      <w:r>
        <w:rPr>
          <w:rFonts w:hint="eastAsia" w:ascii="仿宋_GB2312" w:eastAsia="仿宋_GB2312"/>
          <w:b/>
          <w:bCs/>
          <w:sz w:val="36"/>
          <w:szCs w:val="36"/>
        </w:rPr>
        <w:t xml:space="preserve"> </w:t>
      </w:r>
    </w:p>
    <w:p>
      <w:pPr>
        <w:pStyle w:val="21"/>
        <w:autoSpaceDN w:val="0"/>
        <w:spacing w:line="580" w:lineRule="atLeast"/>
        <w:ind w:firstLine="600"/>
        <w:jc w:val="both"/>
      </w:pPr>
      <w:r>
        <w:rPr>
          <w:rFonts w:hint="eastAsia" w:ascii="仿宋_GB2312" w:eastAsia="仿宋_GB2312"/>
          <w:b/>
          <w:bCs/>
          <w:sz w:val="36"/>
          <w:szCs w:val="36"/>
        </w:rPr>
        <w:t xml:space="preserve"> </w:t>
      </w:r>
    </w:p>
    <w:p>
      <w:pPr>
        <w:pStyle w:val="21"/>
        <w:autoSpaceDN w:val="0"/>
        <w:spacing w:line="580" w:lineRule="atLeast"/>
        <w:ind w:firstLine="600"/>
        <w:jc w:val="both"/>
      </w:pPr>
      <w:r>
        <w:rPr>
          <w:rFonts w:hint="eastAsia" w:ascii="仿宋_GB2312" w:eastAsia="仿宋_GB2312"/>
          <w:b/>
          <w:bCs/>
          <w:sz w:val="36"/>
          <w:szCs w:val="36"/>
        </w:rPr>
        <w:t xml:space="preserve"> </w:t>
      </w:r>
    </w:p>
    <w:p>
      <w:pPr>
        <w:pStyle w:val="21"/>
        <w:autoSpaceDN w:val="0"/>
        <w:spacing w:line="580" w:lineRule="atLeast"/>
        <w:ind w:firstLine="600"/>
        <w:jc w:val="both"/>
      </w:pPr>
      <w:r>
        <w:rPr>
          <w:rFonts w:hint="eastAsia" w:ascii="仿宋_GB2312" w:eastAsia="仿宋_GB2312"/>
          <w:b/>
          <w:bCs/>
          <w:sz w:val="36"/>
          <w:szCs w:val="36"/>
        </w:rPr>
        <w:t xml:space="preserve"> </w:t>
      </w:r>
    </w:p>
    <w:p>
      <w:pPr>
        <w:pStyle w:val="21"/>
        <w:autoSpaceDN w:val="0"/>
        <w:spacing w:line="580" w:lineRule="atLeast"/>
        <w:ind w:firstLine="600"/>
        <w:jc w:val="both"/>
      </w:pPr>
      <w:r>
        <w:rPr>
          <w:rFonts w:hint="eastAsia" w:ascii="仿宋_GB2312" w:eastAsia="仿宋_GB2312"/>
          <w:b/>
          <w:bCs/>
          <w:sz w:val="36"/>
          <w:szCs w:val="36"/>
        </w:rPr>
        <w:t xml:space="preserve"> </w:t>
      </w:r>
    </w:p>
    <w:p>
      <w:pPr>
        <w:pStyle w:val="21"/>
        <w:autoSpaceDN w:val="0"/>
        <w:spacing w:line="580" w:lineRule="atLeast"/>
        <w:ind w:firstLine="600"/>
        <w:jc w:val="both"/>
      </w:pPr>
      <w:r>
        <w:rPr>
          <w:rFonts w:hint="eastAsia" w:ascii="仿宋_GB2312" w:eastAsia="仿宋_GB2312"/>
          <w:b/>
          <w:bCs/>
          <w:sz w:val="36"/>
          <w:szCs w:val="36"/>
        </w:rPr>
        <w:t xml:space="preserve"> </w:t>
      </w:r>
    </w:p>
    <w:p>
      <w:pPr>
        <w:pStyle w:val="21"/>
        <w:autoSpaceDN w:val="0"/>
        <w:spacing w:line="580" w:lineRule="atLeast"/>
        <w:ind w:firstLine="600"/>
        <w:jc w:val="both"/>
      </w:pPr>
      <w:r>
        <w:rPr>
          <w:rFonts w:hint="eastAsia" w:ascii="仿宋_GB2312" w:eastAsia="仿宋_GB2312"/>
          <w:b/>
          <w:bCs/>
          <w:sz w:val="36"/>
          <w:szCs w:val="36"/>
        </w:rPr>
        <w:t xml:space="preserve"> </w:t>
      </w:r>
    </w:p>
    <w:p>
      <w:pPr>
        <w:pStyle w:val="21"/>
        <w:autoSpaceDN w:val="0"/>
        <w:spacing w:line="580" w:lineRule="atLeast"/>
        <w:ind w:firstLine="600"/>
        <w:jc w:val="both"/>
      </w:pPr>
      <w:r>
        <w:t xml:space="preserve"> </w:t>
      </w:r>
    </w:p>
    <w:p>
      <w:pPr>
        <w:pStyle w:val="21"/>
        <w:autoSpaceDN w:val="0"/>
        <w:spacing w:line="580" w:lineRule="atLeast"/>
        <w:ind w:firstLine="600"/>
        <w:jc w:val="both"/>
      </w:pPr>
      <w:r>
        <w:t xml:space="preserve"> </w:t>
      </w:r>
    </w:p>
    <w:p>
      <w:pPr>
        <w:pStyle w:val="21"/>
        <w:autoSpaceDN w:val="0"/>
        <w:spacing w:line="580" w:lineRule="atLeast"/>
        <w:ind w:firstLine="600"/>
        <w:jc w:val="both"/>
      </w:pPr>
      <w:r>
        <w:t xml:space="preserve"> </w:t>
      </w:r>
    </w:p>
    <w:p>
      <w:pPr>
        <w:pStyle w:val="21"/>
        <w:autoSpaceDN w:val="0"/>
        <w:spacing w:line="580" w:lineRule="atLeast"/>
        <w:ind w:firstLine="600"/>
        <w:jc w:val="both"/>
      </w:pPr>
      <w:r>
        <w:t xml:space="preserve"> </w:t>
      </w:r>
    </w:p>
    <w:p>
      <w:pPr>
        <w:pStyle w:val="21"/>
        <w:autoSpaceDN w:val="0"/>
        <w:spacing w:line="580" w:lineRule="atLeast"/>
        <w:ind w:firstLine="600"/>
        <w:jc w:val="both"/>
      </w:pPr>
      <w:r>
        <w:t xml:space="preserve"> </w:t>
      </w:r>
    </w:p>
    <w:p>
      <w:pPr>
        <w:pStyle w:val="21"/>
        <w:autoSpaceDN w:val="0"/>
        <w:spacing w:line="580" w:lineRule="atLeast"/>
        <w:ind w:firstLine="600"/>
        <w:jc w:val="both"/>
      </w:pPr>
      <w:r>
        <w:t xml:space="preserve"> </w:t>
      </w:r>
    </w:p>
    <w:p>
      <w:pPr>
        <w:pStyle w:val="21"/>
        <w:autoSpaceDN w:val="0"/>
        <w:spacing w:line="580" w:lineRule="atLeast"/>
        <w:ind w:firstLine="600"/>
        <w:jc w:val="both"/>
      </w:pPr>
      <w:r>
        <w:t xml:space="preserve"> </w:t>
      </w:r>
    </w:p>
    <w:p>
      <w:pPr>
        <w:pStyle w:val="21"/>
        <w:autoSpaceDN w:val="0"/>
        <w:spacing w:line="580" w:lineRule="atLeast"/>
        <w:ind w:firstLine="600"/>
        <w:jc w:val="both"/>
      </w:pPr>
      <w:r>
        <w:t xml:space="preserve"> </w:t>
      </w:r>
    </w:p>
    <w:p>
      <w:pPr>
        <w:pStyle w:val="21"/>
        <w:autoSpaceDN w:val="0"/>
        <w:spacing w:line="580" w:lineRule="atLeast"/>
        <w:ind w:firstLine="600"/>
        <w:jc w:val="both"/>
      </w:pPr>
      <w:r>
        <w:t xml:space="preserve"> </w:t>
      </w:r>
    </w:p>
    <w:p>
      <w:pPr>
        <w:pStyle w:val="21"/>
        <w:autoSpaceDN w:val="0"/>
        <w:spacing w:line="580" w:lineRule="atLeast"/>
        <w:ind w:firstLine="600"/>
        <w:jc w:val="both"/>
      </w:pPr>
      <w:r>
        <w:rPr>
          <w:rFonts w:hint="eastAsia" w:ascii="仿宋_GB2312" w:eastAsia="仿宋_GB2312"/>
          <w:b/>
          <w:bCs/>
          <w:sz w:val="36"/>
          <w:szCs w:val="36"/>
        </w:rPr>
        <w:t xml:space="preserve"> </w:t>
      </w:r>
    </w:p>
    <w:p>
      <w:pPr>
        <w:pStyle w:val="21"/>
        <w:autoSpaceDN w:val="0"/>
        <w:spacing w:line="580" w:lineRule="atLeast"/>
        <w:ind w:firstLine="600"/>
        <w:jc w:val="both"/>
      </w:pPr>
      <w:r>
        <w:rPr>
          <w:rFonts w:hint="eastAsia" w:ascii="仿宋_GB2312" w:eastAsia="仿宋_GB2312"/>
          <w:b/>
          <w:bCs/>
          <w:sz w:val="36"/>
          <w:szCs w:val="36"/>
        </w:rPr>
        <w:t xml:space="preserve"> </w:t>
      </w:r>
    </w:p>
    <w:p>
      <w:pPr>
        <w:pStyle w:val="21"/>
        <w:autoSpaceDN w:val="0"/>
        <w:ind w:firstLine="601"/>
        <w:jc w:val="both"/>
      </w:pPr>
      <w:r>
        <w:rPr>
          <w:rFonts w:hint="eastAsia" w:ascii="仿宋_GB2312" w:eastAsia="仿宋_GB2312"/>
          <w:b/>
          <w:bCs/>
          <w:sz w:val="44"/>
          <w:szCs w:val="44"/>
        </w:rPr>
        <w:t xml:space="preserve"> </w:t>
      </w:r>
    </w:p>
    <w:p>
      <w:pPr>
        <w:pStyle w:val="21"/>
        <w:autoSpaceDN w:val="0"/>
        <w:ind w:firstLine="601"/>
        <w:jc w:val="both"/>
      </w:pPr>
      <w:r>
        <w:t xml:space="preserve"> </w:t>
      </w:r>
    </w:p>
    <w:p>
      <w:pPr>
        <w:pStyle w:val="21"/>
        <w:autoSpaceDN w:val="0"/>
        <w:ind w:firstLine="601"/>
        <w:jc w:val="center"/>
      </w:pPr>
      <w:r>
        <w:rPr>
          <w:rFonts w:hint="eastAsia" w:ascii="仿宋_GB2312" w:eastAsia="仿宋_GB2312"/>
          <w:b/>
          <w:bCs/>
          <w:sz w:val="44"/>
          <w:szCs w:val="44"/>
        </w:rPr>
        <w:t>目录</w:t>
      </w:r>
    </w:p>
    <w:p>
      <w:pPr>
        <w:pStyle w:val="21"/>
        <w:autoSpaceDN w:val="0"/>
        <w:ind w:firstLine="601"/>
        <w:jc w:val="both"/>
      </w:pPr>
      <w:r>
        <w:rPr>
          <w:rFonts w:hint="eastAsia" w:ascii="仿宋_GB2312" w:eastAsia="仿宋_GB2312"/>
          <w:b/>
          <w:bCs/>
          <w:sz w:val="44"/>
          <w:szCs w:val="44"/>
        </w:rPr>
        <w:t xml:space="preserve"> </w:t>
      </w:r>
    </w:p>
    <w:p>
      <w:pPr>
        <w:pStyle w:val="21"/>
        <w:autoSpaceDN w:val="0"/>
        <w:spacing w:line="580" w:lineRule="atLeast"/>
        <w:ind w:firstLine="601"/>
        <w:jc w:val="both"/>
      </w:pPr>
      <w:r>
        <w:rPr>
          <w:rFonts w:hint="eastAsia" w:ascii="仿宋_GB2312" w:eastAsia="仿宋_GB2312"/>
          <w:b/>
          <w:bCs/>
          <w:sz w:val="32"/>
          <w:szCs w:val="32"/>
        </w:rPr>
        <w:t>第一部分 部门基本情况</w:t>
      </w:r>
    </w:p>
    <w:p>
      <w:pPr>
        <w:pStyle w:val="21"/>
        <w:autoSpaceDN w:val="0"/>
        <w:spacing w:line="580" w:lineRule="atLeast"/>
        <w:ind w:firstLine="601"/>
        <w:jc w:val="both"/>
      </w:pPr>
      <w:r>
        <w:rPr>
          <w:rFonts w:hint="eastAsia" w:ascii="仿宋_GB2312" w:eastAsia="仿宋_GB2312"/>
          <w:sz w:val="32"/>
          <w:szCs w:val="32"/>
        </w:rPr>
        <w:t>一、部门职责</w:t>
      </w:r>
    </w:p>
    <w:p>
      <w:pPr>
        <w:pStyle w:val="21"/>
        <w:autoSpaceDN w:val="0"/>
        <w:spacing w:line="580" w:lineRule="atLeast"/>
        <w:ind w:firstLine="601"/>
        <w:jc w:val="both"/>
      </w:pPr>
      <w:r>
        <w:rPr>
          <w:rFonts w:hint="eastAsia" w:ascii="仿宋_GB2312" w:eastAsia="仿宋_GB2312"/>
          <w:sz w:val="32"/>
          <w:szCs w:val="32"/>
        </w:rPr>
        <w:t>二、机构设置</w:t>
      </w:r>
    </w:p>
    <w:p>
      <w:pPr>
        <w:pStyle w:val="21"/>
        <w:autoSpaceDN w:val="0"/>
        <w:spacing w:line="580" w:lineRule="atLeast"/>
        <w:ind w:firstLine="601"/>
        <w:jc w:val="both"/>
      </w:pPr>
      <w:r>
        <w:rPr>
          <w:rFonts w:hint="eastAsia" w:ascii="仿宋_GB2312" w:eastAsia="仿宋_GB2312"/>
          <w:b/>
          <w:bCs/>
          <w:sz w:val="32"/>
          <w:szCs w:val="32"/>
        </w:rPr>
        <w:t>第二部分 2020年度部门决算情况说明</w:t>
      </w:r>
    </w:p>
    <w:p>
      <w:pPr>
        <w:pStyle w:val="21"/>
        <w:autoSpaceDN w:val="0"/>
        <w:spacing w:line="580" w:lineRule="atLeast"/>
        <w:ind w:firstLine="601"/>
        <w:jc w:val="both"/>
      </w:pPr>
      <w:r>
        <w:rPr>
          <w:rFonts w:hint="eastAsia" w:ascii="仿宋_GB2312" w:eastAsia="仿宋_GB2312"/>
          <w:sz w:val="32"/>
          <w:szCs w:val="32"/>
        </w:rPr>
        <w:t>一、关于2020年度预算执行情况分析</w:t>
      </w:r>
    </w:p>
    <w:p>
      <w:pPr>
        <w:pStyle w:val="21"/>
        <w:autoSpaceDN w:val="0"/>
        <w:spacing w:line="580" w:lineRule="atLeast"/>
        <w:ind w:firstLine="601"/>
        <w:jc w:val="both"/>
      </w:pPr>
      <w:r>
        <w:rPr>
          <w:rFonts w:hint="eastAsia" w:ascii="仿宋_GB2312" w:eastAsia="仿宋_GB2312"/>
          <w:sz w:val="32"/>
          <w:szCs w:val="32"/>
        </w:rPr>
        <w:t>二、关于2020年度决算情况说明</w:t>
      </w:r>
    </w:p>
    <w:p>
      <w:pPr>
        <w:pStyle w:val="21"/>
        <w:autoSpaceDN w:val="0"/>
        <w:spacing w:line="580" w:lineRule="atLeast"/>
        <w:ind w:firstLine="601"/>
        <w:jc w:val="both"/>
      </w:pPr>
      <w:r>
        <w:rPr>
          <w:rFonts w:hint="eastAsia" w:ascii="仿宋_GB2312" w:eastAsia="仿宋_GB2312"/>
          <w:sz w:val="32"/>
          <w:szCs w:val="32"/>
        </w:rPr>
        <w:t>（一）关于收支情况总体说明</w:t>
      </w:r>
    </w:p>
    <w:p>
      <w:pPr>
        <w:pStyle w:val="21"/>
        <w:autoSpaceDN w:val="0"/>
        <w:spacing w:line="580" w:lineRule="atLeast"/>
        <w:ind w:firstLine="601"/>
        <w:jc w:val="both"/>
      </w:pPr>
      <w:r>
        <w:rPr>
          <w:rFonts w:hint="eastAsia" w:ascii="仿宋_GB2312" w:eastAsia="仿宋_GB2312"/>
          <w:sz w:val="32"/>
          <w:szCs w:val="32"/>
        </w:rPr>
        <w:t>（二）关于2020年度收入决算情况说明</w:t>
      </w:r>
    </w:p>
    <w:p>
      <w:pPr>
        <w:pStyle w:val="21"/>
        <w:autoSpaceDN w:val="0"/>
        <w:spacing w:line="580" w:lineRule="atLeast"/>
        <w:ind w:firstLine="601"/>
        <w:jc w:val="both"/>
      </w:pPr>
      <w:r>
        <w:rPr>
          <w:rFonts w:hint="eastAsia" w:ascii="仿宋_GB2312" w:eastAsia="仿宋_GB2312"/>
          <w:sz w:val="32"/>
          <w:szCs w:val="32"/>
        </w:rPr>
        <w:t>（三）关于2020年度支出决算情况说明</w:t>
      </w:r>
    </w:p>
    <w:p>
      <w:pPr>
        <w:pStyle w:val="21"/>
        <w:autoSpaceDN w:val="0"/>
        <w:spacing w:line="580" w:lineRule="atLeast"/>
        <w:ind w:firstLine="601"/>
        <w:jc w:val="both"/>
      </w:pPr>
      <w:r>
        <w:rPr>
          <w:rFonts w:hint="eastAsia" w:ascii="仿宋_GB2312" w:eastAsia="仿宋_GB2312"/>
          <w:sz w:val="32"/>
          <w:szCs w:val="32"/>
        </w:rPr>
        <w:t>（四）关于2020年度财政拨款收入支出决算总体情况说明</w:t>
      </w:r>
    </w:p>
    <w:p>
      <w:pPr>
        <w:pStyle w:val="21"/>
        <w:autoSpaceDN w:val="0"/>
        <w:spacing w:line="580" w:lineRule="atLeast"/>
        <w:ind w:firstLine="601"/>
        <w:jc w:val="both"/>
      </w:pPr>
      <w:r>
        <w:rPr>
          <w:rFonts w:hint="eastAsia" w:ascii="仿宋_GB2312" w:eastAsia="仿宋_GB2312"/>
          <w:sz w:val="32"/>
          <w:szCs w:val="32"/>
        </w:rPr>
        <w:t>（五）关于2020年度一般公共预算财政拨款支出决算情况说明</w:t>
      </w:r>
    </w:p>
    <w:p>
      <w:pPr>
        <w:pStyle w:val="21"/>
        <w:autoSpaceDN w:val="0"/>
        <w:spacing w:line="580" w:lineRule="atLeast"/>
        <w:ind w:firstLine="601"/>
        <w:jc w:val="both"/>
      </w:pPr>
      <w:r>
        <w:rPr>
          <w:rFonts w:hint="eastAsia" w:ascii="仿宋_GB2312" w:eastAsia="仿宋_GB2312"/>
          <w:sz w:val="32"/>
          <w:szCs w:val="32"/>
        </w:rPr>
        <w:t>（六）关于2020年度一般公共预算财政拨款基本支出决算情况说明</w:t>
      </w:r>
    </w:p>
    <w:p>
      <w:pPr>
        <w:pStyle w:val="21"/>
        <w:autoSpaceDN w:val="0"/>
        <w:spacing w:line="580" w:lineRule="atLeast"/>
        <w:ind w:firstLine="601"/>
        <w:jc w:val="both"/>
      </w:pPr>
      <w:r>
        <w:rPr>
          <w:rFonts w:hint="eastAsia" w:ascii="仿宋_GB2312" w:eastAsia="仿宋_GB2312"/>
          <w:sz w:val="32"/>
          <w:szCs w:val="32"/>
        </w:rPr>
        <w:t>（七）关于2020年度财政拨款</w:t>
      </w:r>
      <w:r>
        <w:rPr>
          <w:rFonts w:hint="eastAsia" w:eastAsia="仿宋_GB2312"/>
          <w:sz w:val="32"/>
          <w:szCs w:val="32"/>
        </w:rPr>
        <w:t>“</w:t>
      </w:r>
      <w:r>
        <w:rPr>
          <w:rFonts w:hint="eastAsia" w:ascii="仿宋_GB2312" w:eastAsia="仿宋_GB2312"/>
          <w:sz w:val="32"/>
          <w:szCs w:val="32"/>
        </w:rPr>
        <w:t>三公</w:t>
      </w:r>
      <w:r>
        <w:rPr>
          <w:rFonts w:hint="eastAsia" w:eastAsia="仿宋_GB2312"/>
          <w:sz w:val="32"/>
          <w:szCs w:val="32"/>
        </w:rPr>
        <w:t>”</w:t>
      </w:r>
      <w:r>
        <w:rPr>
          <w:rFonts w:hint="eastAsia" w:ascii="仿宋_GB2312" w:eastAsia="仿宋_GB2312"/>
          <w:sz w:val="32"/>
          <w:szCs w:val="32"/>
        </w:rPr>
        <w:t>经费支出决算情况说明</w:t>
      </w:r>
    </w:p>
    <w:p>
      <w:pPr>
        <w:pStyle w:val="21"/>
        <w:autoSpaceDN w:val="0"/>
        <w:spacing w:line="580" w:lineRule="atLeast"/>
        <w:ind w:firstLine="601"/>
        <w:jc w:val="both"/>
      </w:pPr>
      <w:r>
        <w:rPr>
          <w:rFonts w:hint="eastAsia" w:ascii="仿宋_GB2312" w:eastAsia="仿宋_GB2312"/>
          <w:sz w:val="32"/>
          <w:szCs w:val="32"/>
        </w:rPr>
        <w:t xml:space="preserve">  1、财政拨款</w:t>
      </w:r>
      <w:r>
        <w:rPr>
          <w:rFonts w:hint="eastAsia" w:eastAsia="仿宋_GB2312"/>
          <w:sz w:val="32"/>
          <w:szCs w:val="32"/>
        </w:rPr>
        <w:t>“</w:t>
      </w:r>
      <w:r>
        <w:rPr>
          <w:rFonts w:hint="eastAsia" w:ascii="仿宋_GB2312" w:eastAsia="仿宋_GB2312"/>
          <w:sz w:val="32"/>
          <w:szCs w:val="32"/>
        </w:rPr>
        <w:t>三公</w:t>
      </w:r>
      <w:r>
        <w:rPr>
          <w:rFonts w:hint="eastAsia" w:eastAsia="仿宋_GB2312"/>
          <w:sz w:val="32"/>
          <w:szCs w:val="32"/>
        </w:rPr>
        <w:t>”</w:t>
      </w:r>
      <w:r>
        <w:rPr>
          <w:rFonts w:hint="eastAsia" w:ascii="仿宋_GB2312" w:eastAsia="仿宋_GB2312"/>
          <w:sz w:val="32"/>
          <w:szCs w:val="32"/>
        </w:rPr>
        <w:t>经费支出决算总体情况说明</w:t>
      </w:r>
    </w:p>
    <w:p>
      <w:pPr>
        <w:pStyle w:val="21"/>
        <w:autoSpaceDN w:val="0"/>
        <w:spacing w:line="580" w:lineRule="atLeast"/>
        <w:ind w:firstLine="601"/>
        <w:jc w:val="both"/>
      </w:pPr>
      <w:r>
        <w:rPr>
          <w:rFonts w:hint="eastAsia" w:ascii="仿宋_GB2312" w:eastAsia="仿宋_GB2312"/>
          <w:sz w:val="32"/>
          <w:szCs w:val="32"/>
        </w:rPr>
        <w:t xml:space="preserve">  2、财政拨款</w:t>
      </w:r>
      <w:r>
        <w:rPr>
          <w:rFonts w:hint="eastAsia" w:eastAsia="仿宋_GB2312"/>
          <w:sz w:val="32"/>
          <w:szCs w:val="32"/>
        </w:rPr>
        <w:t>“</w:t>
      </w:r>
      <w:r>
        <w:rPr>
          <w:rFonts w:hint="eastAsia" w:ascii="仿宋_GB2312" w:eastAsia="仿宋_GB2312"/>
          <w:sz w:val="32"/>
          <w:szCs w:val="32"/>
        </w:rPr>
        <w:t>三公</w:t>
      </w:r>
      <w:r>
        <w:rPr>
          <w:rFonts w:hint="eastAsia" w:eastAsia="仿宋_GB2312"/>
          <w:sz w:val="32"/>
          <w:szCs w:val="32"/>
        </w:rPr>
        <w:t>”</w:t>
      </w:r>
      <w:r>
        <w:rPr>
          <w:rFonts w:hint="eastAsia" w:ascii="仿宋_GB2312" w:eastAsia="仿宋_GB2312"/>
          <w:sz w:val="32"/>
          <w:szCs w:val="32"/>
        </w:rPr>
        <w:t>经费支出决算具体情况说明</w:t>
      </w:r>
    </w:p>
    <w:p>
      <w:pPr>
        <w:pStyle w:val="21"/>
        <w:autoSpaceDN w:val="0"/>
        <w:spacing w:line="580" w:lineRule="atLeast"/>
        <w:ind w:firstLine="601"/>
        <w:jc w:val="both"/>
      </w:pPr>
      <w:r>
        <w:rPr>
          <w:rFonts w:hint="eastAsia" w:ascii="仿宋_GB2312" w:eastAsia="仿宋_GB2312"/>
          <w:sz w:val="32"/>
          <w:szCs w:val="32"/>
        </w:rPr>
        <w:t>三、预算绩效情况说明</w:t>
      </w:r>
    </w:p>
    <w:p>
      <w:pPr>
        <w:pStyle w:val="21"/>
        <w:autoSpaceDN w:val="0"/>
        <w:spacing w:line="580" w:lineRule="atLeast"/>
        <w:ind w:firstLine="600"/>
        <w:jc w:val="both"/>
      </w:pPr>
      <w:r>
        <w:rPr>
          <w:rFonts w:hint="eastAsia" w:ascii="仿宋_GB2312" w:eastAsia="仿宋_GB2312"/>
          <w:sz w:val="32"/>
          <w:szCs w:val="32"/>
        </w:rPr>
        <w:t>（一）预算绩效管理工作开展情况</w:t>
      </w:r>
    </w:p>
    <w:p>
      <w:pPr>
        <w:pStyle w:val="21"/>
        <w:autoSpaceDN w:val="0"/>
        <w:spacing w:line="580" w:lineRule="atLeast"/>
        <w:ind w:firstLine="600"/>
        <w:jc w:val="both"/>
      </w:pPr>
      <w:r>
        <w:rPr>
          <w:rFonts w:hint="eastAsia" w:ascii="仿宋_GB2312" w:eastAsia="仿宋_GB2312"/>
          <w:sz w:val="32"/>
          <w:szCs w:val="32"/>
        </w:rPr>
        <w:t>（二）部门决算中项目绩效自评结果</w:t>
      </w:r>
    </w:p>
    <w:p>
      <w:pPr>
        <w:pStyle w:val="21"/>
        <w:autoSpaceDN w:val="0"/>
        <w:spacing w:line="580" w:lineRule="atLeast"/>
        <w:ind w:firstLine="600"/>
        <w:jc w:val="both"/>
      </w:pPr>
      <w:r>
        <w:rPr>
          <w:rFonts w:hint="eastAsia" w:ascii="仿宋_GB2312" w:eastAsia="仿宋_GB2312"/>
          <w:sz w:val="32"/>
          <w:szCs w:val="32"/>
        </w:rPr>
        <w:t>（三）部门评价项目绩效评价结果</w:t>
      </w:r>
    </w:p>
    <w:p>
      <w:pPr>
        <w:pStyle w:val="21"/>
        <w:autoSpaceDN w:val="0"/>
        <w:spacing w:line="580" w:lineRule="atLeast"/>
        <w:ind w:firstLine="601"/>
        <w:jc w:val="both"/>
      </w:pPr>
      <w:r>
        <w:rPr>
          <w:rFonts w:hint="eastAsia" w:ascii="仿宋_GB2312" w:eastAsia="仿宋_GB2312"/>
          <w:sz w:val="32"/>
          <w:szCs w:val="32"/>
        </w:rPr>
        <w:t>四、其他重要事项的情况说明</w:t>
      </w:r>
    </w:p>
    <w:p>
      <w:pPr>
        <w:pStyle w:val="21"/>
        <w:autoSpaceDN w:val="0"/>
        <w:spacing w:line="580" w:lineRule="atLeast"/>
        <w:ind w:firstLine="601"/>
        <w:jc w:val="both"/>
      </w:pPr>
      <w:r>
        <w:rPr>
          <w:rFonts w:hint="eastAsia" w:ascii="仿宋_GB2312" w:eastAsia="仿宋_GB2312"/>
          <w:sz w:val="32"/>
          <w:szCs w:val="32"/>
        </w:rPr>
        <w:t>（一）机关运行经费支出情况</w:t>
      </w:r>
    </w:p>
    <w:p>
      <w:pPr>
        <w:pStyle w:val="21"/>
        <w:autoSpaceDN w:val="0"/>
        <w:spacing w:line="580" w:lineRule="atLeast"/>
        <w:ind w:firstLine="601"/>
        <w:jc w:val="both"/>
      </w:pPr>
      <w:r>
        <w:rPr>
          <w:rFonts w:hint="eastAsia" w:ascii="仿宋_GB2312" w:eastAsia="仿宋_GB2312"/>
          <w:sz w:val="32"/>
          <w:szCs w:val="32"/>
        </w:rPr>
        <w:t>（二）政府采购支出情况</w:t>
      </w:r>
    </w:p>
    <w:p>
      <w:pPr>
        <w:pStyle w:val="21"/>
        <w:autoSpaceDN w:val="0"/>
        <w:spacing w:line="580" w:lineRule="atLeast"/>
        <w:ind w:firstLine="601"/>
        <w:jc w:val="both"/>
      </w:pPr>
      <w:r>
        <w:rPr>
          <w:rFonts w:hint="eastAsia" w:ascii="仿宋_GB2312" w:eastAsia="仿宋_GB2312"/>
          <w:sz w:val="32"/>
          <w:szCs w:val="32"/>
        </w:rPr>
        <w:t>（三）国有资产占用情况</w:t>
      </w:r>
    </w:p>
    <w:p>
      <w:pPr>
        <w:pStyle w:val="21"/>
        <w:autoSpaceDN w:val="0"/>
        <w:spacing w:line="580" w:lineRule="atLeast"/>
        <w:ind w:firstLine="601"/>
        <w:jc w:val="both"/>
      </w:pPr>
      <w:r>
        <w:rPr>
          <w:rFonts w:hint="eastAsia" w:ascii="仿宋_GB2312" w:eastAsia="仿宋_GB2312"/>
          <w:sz w:val="32"/>
          <w:szCs w:val="32"/>
        </w:rPr>
        <w:t xml:space="preserve"> </w:t>
      </w:r>
    </w:p>
    <w:p>
      <w:pPr>
        <w:pStyle w:val="21"/>
        <w:autoSpaceDN w:val="0"/>
        <w:spacing w:line="580" w:lineRule="atLeast"/>
        <w:ind w:firstLine="601"/>
        <w:jc w:val="both"/>
      </w:pPr>
      <w:r>
        <w:rPr>
          <w:rFonts w:hint="eastAsia" w:ascii="仿宋_GB2312" w:eastAsia="仿宋_GB2312"/>
          <w:b/>
          <w:bCs/>
          <w:sz w:val="32"/>
          <w:szCs w:val="32"/>
        </w:rPr>
        <w:t>第三部分 名词解释</w:t>
      </w:r>
    </w:p>
    <w:p>
      <w:pPr>
        <w:pStyle w:val="21"/>
        <w:autoSpaceDN w:val="0"/>
        <w:spacing w:line="580" w:lineRule="atLeast"/>
        <w:ind w:firstLine="601"/>
        <w:jc w:val="both"/>
      </w:pPr>
      <w:r>
        <w:rPr>
          <w:rFonts w:hint="eastAsia" w:ascii="仿宋_GB2312" w:eastAsia="仿宋_GB2312"/>
          <w:b/>
          <w:bCs/>
          <w:sz w:val="32"/>
          <w:szCs w:val="32"/>
        </w:rPr>
        <w:t>第四部分 决算公开联系方式及信息反馈渠道</w:t>
      </w:r>
    </w:p>
    <w:p>
      <w:pPr>
        <w:pStyle w:val="21"/>
        <w:autoSpaceDN w:val="0"/>
        <w:spacing w:line="580" w:lineRule="atLeast"/>
        <w:ind w:firstLine="601"/>
        <w:jc w:val="both"/>
      </w:pPr>
      <w:r>
        <w:rPr>
          <w:rFonts w:hint="eastAsia" w:ascii="仿宋_GB2312" w:eastAsia="仿宋_GB2312"/>
          <w:b/>
          <w:bCs/>
          <w:sz w:val="32"/>
          <w:szCs w:val="32"/>
        </w:rPr>
        <w:t>第五部分 部门决算公开表</w:t>
      </w:r>
    </w:p>
    <w:p>
      <w:pPr>
        <w:pStyle w:val="21"/>
        <w:autoSpaceDN w:val="0"/>
        <w:spacing w:line="580" w:lineRule="atLeast"/>
        <w:ind w:firstLine="601"/>
        <w:jc w:val="both"/>
      </w:pPr>
      <w:r>
        <w:rPr>
          <w:rFonts w:hint="eastAsia" w:ascii="仿宋_GB2312" w:eastAsia="仿宋_GB2312"/>
          <w:sz w:val="32"/>
          <w:szCs w:val="32"/>
        </w:rPr>
        <w:t>一、收入支出决算总表</w:t>
      </w:r>
    </w:p>
    <w:p>
      <w:pPr>
        <w:pStyle w:val="21"/>
        <w:autoSpaceDN w:val="0"/>
        <w:spacing w:line="580" w:lineRule="atLeast"/>
        <w:ind w:firstLine="601"/>
        <w:jc w:val="both"/>
      </w:pPr>
      <w:r>
        <w:rPr>
          <w:rFonts w:hint="eastAsia" w:ascii="仿宋_GB2312" w:eastAsia="仿宋_GB2312"/>
          <w:sz w:val="32"/>
          <w:szCs w:val="32"/>
        </w:rPr>
        <w:t>二、收入决算表</w:t>
      </w:r>
    </w:p>
    <w:p>
      <w:pPr>
        <w:pStyle w:val="21"/>
        <w:autoSpaceDN w:val="0"/>
        <w:spacing w:line="580" w:lineRule="atLeast"/>
        <w:ind w:firstLine="601"/>
        <w:jc w:val="both"/>
      </w:pPr>
      <w:r>
        <w:rPr>
          <w:rFonts w:hint="eastAsia" w:ascii="仿宋_GB2312" w:eastAsia="仿宋_GB2312"/>
          <w:sz w:val="32"/>
          <w:szCs w:val="32"/>
        </w:rPr>
        <w:t>三、支出决算表</w:t>
      </w:r>
    </w:p>
    <w:p>
      <w:pPr>
        <w:pStyle w:val="21"/>
        <w:autoSpaceDN w:val="0"/>
        <w:spacing w:line="580" w:lineRule="atLeast"/>
        <w:ind w:firstLine="601"/>
        <w:jc w:val="both"/>
      </w:pPr>
      <w:r>
        <w:rPr>
          <w:rFonts w:hint="eastAsia" w:ascii="仿宋_GB2312" w:eastAsia="仿宋_GB2312"/>
          <w:sz w:val="32"/>
          <w:szCs w:val="32"/>
        </w:rPr>
        <w:t>四、财政拨款收入支出决算总表</w:t>
      </w:r>
    </w:p>
    <w:p>
      <w:pPr>
        <w:pStyle w:val="21"/>
        <w:autoSpaceDN w:val="0"/>
        <w:spacing w:line="580" w:lineRule="atLeast"/>
        <w:ind w:firstLine="601"/>
        <w:jc w:val="both"/>
      </w:pPr>
      <w:r>
        <w:rPr>
          <w:rFonts w:hint="eastAsia" w:ascii="仿宋_GB2312" w:eastAsia="仿宋_GB2312"/>
          <w:sz w:val="32"/>
          <w:szCs w:val="32"/>
        </w:rPr>
        <w:t>五、一般公共预算财政拨款支出决算表</w:t>
      </w:r>
    </w:p>
    <w:p>
      <w:pPr>
        <w:pStyle w:val="21"/>
        <w:autoSpaceDN w:val="0"/>
        <w:spacing w:line="580" w:lineRule="atLeast"/>
        <w:ind w:firstLine="601"/>
        <w:jc w:val="both"/>
      </w:pPr>
      <w:r>
        <w:rPr>
          <w:rFonts w:hint="eastAsia" w:ascii="仿宋_GB2312" w:eastAsia="仿宋_GB2312"/>
          <w:sz w:val="32"/>
          <w:szCs w:val="32"/>
        </w:rPr>
        <w:t>六、一般公共预算财政拨款基本支出决算明细表</w:t>
      </w:r>
    </w:p>
    <w:p>
      <w:pPr>
        <w:pStyle w:val="21"/>
        <w:autoSpaceDN w:val="0"/>
        <w:spacing w:line="580" w:lineRule="atLeast"/>
        <w:ind w:firstLine="601"/>
        <w:jc w:val="both"/>
      </w:pPr>
      <w:r>
        <w:rPr>
          <w:rFonts w:hint="eastAsia" w:ascii="仿宋_GB2312" w:eastAsia="仿宋_GB2312"/>
          <w:sz w:val="32"/>
          <w:szCs w:val="32"/>
        </w:rPr>
        <w:t>七、政府性基金预算财政拨款收入支出决算表</w:t>
      </w:r>
    </w:p>
    <w:p>
      <w:pPr>
        <w:pStyle w:val="21"/>
        <w:autoSpaceDN w:val="0"/>
        <w:spacing w:line="580" w:lineRule="atLeast"/>
        <w:ind w:firstLine="601"/>
        <w:jc w:val="both"/>
      </w:pPr>
      <w:r>
        <w:rPr>
          <w:rFonts w:hint="eastAsia" w:ascii="仿宋_GB2312" w:eastAsia="仿宋_GB2312"/>
          <w:sz w:val="32"/>
          <w:szCs w:val="32"/>
        </w:rPr>
        <w:t>八、国有资本经营预算财政拨款收入支出决算表</w:t>
      </w:r>
    </w:p>
    <w:p>
      <w:pPr>
        <w:pStyle w:val="21"/>
        <w:autoSpaceDN w:val="0"/>
        <w:spacing w:line="580" w:lineRule="atLeast"/>
        <w:ind w:firstLine="601"/>
        <w:jc w:val="both"/>
      </w:pPr>
      <w:r>
        <w:rPr>
          <w:rFonts w:hint="eastAsia" w:ascii="仿宋_GB2312" w:eastAsia="仿宋_GB2312"/>
          <w:sz w:val="32"/>
          <w:szCs w:val="32"/>
        </w:rPr>
        <w:t>九、机构运行信息表</w:t>
      </w:r>
    </w:p>
    <w:p>
      <w:pPr>
        <w:pStyle w:val="21"/>
        <w:autoSpaceDN w:val="0"/>
        <w:ind w:firstLine="601"/>
        <w:jc w:val="both"/>
      </w:pPr>
      <w:r>
        <w:rPr>
          <w:rFonts w:hint="eastAsia" w:ascii="仿宋_GB2312" w:eastAsia="仿宋_GB2312"/>
          <w:b/>
          <w:bCs/>
          <w:sz w:val="44"/>
          <w:szCs w:val="44"/>
        </w:rPr>
        <w:t xml:space="preserve"> </w:t>
      </w:r>
    </w:p>
    <w:p>
      <w:pPr>
        <w:pStyle w:val="21"/>
        <w:autoSpaceDN w:val="0"/>
        <w:jc w:val="both"/>
      </w:pPr>
      <w:r>
        <w:rPr>
          <w:rFonts w:hint="eastAsia" w:ascii="仿宋_GB2312" w:eastAsia="仿宋_GB2312"/>
          <w:sz w:val="21"/>
          <w:szCs w:val="21"/>
        </w:rP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spacing w:line="580" w:lineRule="atLeast"/>
        <w:ind w:firstLine="600"/>
        <w:jc w:val="both"/>
      </w:pPr>
      <w:r>
        <w:rPr>
          <w:rFonts w:hint="eastAsia" w:ascii="仿宋_GB2312" w:eastAsia="仿宋_GB2312"/>
          <w:b/>
          <w:bCs/>
          <w:sz w:val="32"/>
          <w:szCs w:val="32"/>
        </w:rPr>
        <w:t>第一部分部门基本情况</w:t>
      </w:r>
    </w:p>
    <w:p>
      <w:pPr>
        <w:pStyle w:val="21"/>
        <w:autoSpaceDN w:val="0"/>
        <w:spacing w:line="580" w:lineRule="atLeast"/>
        <w:ind w:firstLine="600"/>
        <w:jc w:val="both"/>
      </w:pPr>
      <w:r>
        <w:rPr>
          <w:rFonts w:hint="eastAsia" w:ascii="仿宋_GB2312" w:eastAsia="仿宋_GB2312"/>
          <w:sz w:val="32"/>
          <w:szCs w:val="32"/>
        </w:rPr>
        <w:t>一、部门职责</w:t>
      </w:r>
    </w:p>
    <w:p>
      <w:pPr>
        <w:pStyle w:val="21"/>
        <w:autoSpaceDN w:val="0"/>
        <w:spacing w:line="580" w:lineRule="atLeast"/>
        <w:ind w:firstLine="600"/>
        <w:jc w:val="both"/>
      </w:pPr>
      <w:r>
        <w:rPr>
          <w:rFonts w:hint="eastAsia" w:ascii="仿宋_GB2312" w:eastAsia="仿宋_GB2312"/>
          <w:sz w:val="32"/>
          <w:szCs w:val="32"/>
        </w:rPr>
        <w:t>（一）贯彻执行国家、自治区关于水利工作的法律法规及有关政策。拟订全市水利规划和政策，组织编制全市水资源规划、重要江河湖泊（不含呼伦湖，以下同）流域综合规划、防洪规划等重大水利规划。负责保障水资源的合理开发利用。指导旗市区开展有关工作。</w:t>
      </w:r>
    </w:p>
    <w:p>
      <w:pPr>
        <w:pStyle w:val="21"/>
        <w:autoSpaceDN w:val="0"/>
        <w:spacing w:line="580" w:lineRule="atLeast"/>
        <w:ind w:firstLine="600"/>
        <w:jc w:val="both"/>
      </w:pPr>
      <w:r>
        <w:rPr>
          <w:rFonts w:hint="eastAsia" w:ascii="仿宋_GB2312" w:eastAsia="仿宋_GB2312"/>
          <w:sz w:val="32"/>
          <w:szCs w:val="32"/>
        </w:rPr>
        <w:t>（二）负责生活、生产经营和生态环境用水的统筹和保障。组织实施最严格水资源管理制度，实施水资源的统一监督管理。拟订全市水中长期供求规划、水量分配方案并监督实施。负责全市重要流域、区域以及重大调水工程的水资源调度。组织实施取水许可、水资源论证和防洪论证制度，指导开展水资源有偿使用工作。指导水利行业供水和苏木乡镇供水工作。</w:t>
      </w:r>
    </w:p>
    <w:p>
      <w:pPr>
        <w:pStyle w:val="21"/>
        <w:autoSpaceDN w:val="0"/>
        <w:spacing w:line="580" w:lineRule="atLeast"/>
        <w:ind w:firstLine="600"/>
        <w:jc w:val="both"/>
      </w:pPr>
      <w:r>
        <w:rPr>
          <w:rFonts w:hint="eastAsia" w:ascii="仿宋_GB2312" w:eastAsia="仿宋_GB2312"/>
          <w:sz w:val="32"/>
          <w:szCs w:val="32"/>
        </w:rPr>
        <w:t>（三）指导水资源保护工作。组织编制并指导实施水资源保护规划。指导地下水开发利用和地下水资源管理保护。组织指导地下水超采区综合治理。</w:t>
      </w:r>
    </w:p>
    <w:p>
      <w:pPr>
        <w:pStyle w:val="21"/>
        <w:autoSpaceDN w:val="0"/>
        <w:spacing w:line="580" w:lineRule="atLeast"/>
        <w:ind w:firstLine="600"/>
        <w:jc w:val="both"/>
      </w:pPr>
      <w:r>
        <w:rPr>
          <w:rFonts w:hint="eastAsia" w:ascii="仿宋_GB2312" w:eastAsia="仿宋_GB2312"/>
          <w:sz w:val="32"/>
          <w:szCs w:val="32"/>
        </w:rPr>
        <w:t>（四）负责节约用水工作。拟订节约用水政策，组织编制节约用水规划并监督实施，组织制定有关标准。组织实施用水总量控制等管理制度，指导和推动节水型社会建设工作。</w:t>
      </w:r>
    </w:p>
    <w:p>
      <w:pPr>
        <w:pStyle w:val="21"/>
        <w:autoSpaceDN w:val="0"/>
        <w:spacing w:line="580" w:lineRule="atLeast"/>
        <w:ind w:firstLine="600"/>
        <w:jc w:val="both"/>
      </w:pPr>
      <w:r>
        <w:rPr>
          <w:rFonts w:hint="eastAsia" w:ascii="仿宋_GB2312" w:eastAsia="仿宋_GB2312"/>
          <w:sz w:val="32"/>
          <w:szCs w:val="32"/>
        </w:rPr>
        <w:t>（五）负责水利建设项目监管。按规定制定全市水利工程（不含呼伦湖，以下同）建设有关制度并组织实施，负责提出水利基本建设投资安排建议，提出国家、自治区和市财政性资金安排意见，负责项目实施的监督管理。按规定权限审批、核准规划内和年度计划规模内项目。</w:t>
      </w:r>
    </w:p>
    <w:p>
      <w:pPr>
        <w:pStyle w:val="21"/>
        <w:autoSpaceDN w:val="0"/>
        <w:spacing w:line="580" w:lineRule="atLeast"/>
        <w:ind w:firstLine="600"/>
        <w:jc w:val="both"/>
      </w:pPr>
      <w:r>
        <w:rPr>
          <w:rFonts w:hint="eastAsia" w:ascii="仿宋_GB2312" w:eastAsia="仿宋_GB2312"/>
          <w:sz w:val="32"/>
          <w:szCs w:val="32"/>
        </w:rPr>
        <w:t>（六）指导水利设施、水域及其岸线的管理、保护与综合利用。组织指导全市水利基础设施网络建设。指导全市重要江河湖泊的治理、开发和保护。指导全市河湖水生态保护与修复、河湖生态流量水量管理以及河湖水系连通工作。</w:t>
      </w:r>
    </w:p>
    <w:p>
      <w:pPr>
        <w:pStyle w:val="21"/>
        <w:autoSpaceDN w:val="0"/>
        <w:spacing w:line="580" w:lineRule="atLeast"/>
        <w:ind w:firstLine="600"/>
        <w:jc w:val="both"/>
      </w:pPr>
      <w:r>
        <w:rPr>
          <w:rFonts w:hint="eastAsia" w:ascii="仿宋_GB2312" w:eastAsia="仿宋_GB2312"/>
          <w:sz w:val="32"/>
          <w:szCs w:val="32"/>
        </w:rPr>
        <w:t>（七）指导监督水利工程建设与运行管理。组织实施并监督全市具有控制性的和跨区域跨流域的重要水利工程建设与运行管理。指导水利建设市场的监督管理，指导监督水利工程建设。按规定权限组织有关工程的验收。协调指导水旱灾害防御工作。</w:t>
      </w:r>
    </w:p>
    <w:p>
      <w:pPr>
        <w:pStyle w:val="21"/>
        <w:autoSpaceDN w:val="0"/>
        <w:spacing w:line="580" w:lineRule="atLeast"/>
        <w:ind w:firstLine="600"/>
        <w:jc w:val="both"/>
      </w:pPr>
      <w:r>
        <w:rPr>
          <w:rFonts w:hint="eastAsia" w:ascii="仿宋_GB2312" w:eastAsia="仿宋_GB2312"/>
          <w:sz w:val="32"/>
          <w:szCs w:val="32"/>
        </w:rPr>
        <w:t>（八）指导农村牧区水利工作。组织开展大中型灌排工程建设与改造。组织指导农村牧区饮水安全工程建设管理工作，指导节水灌溉有关工作。组织指导农村牧区水能资源开发、小水电改造和水电农村电气化工作。</w:t>
      </w:r>
    </w:p>
    <w:p>
      <w:pPr>
        <w:pStyle w:val="21"/>
        <w:autoSpaceDN w:val="0"/>
        <w:spacing w:line="580" w:lineRule="atLeast"/>
        <w:ind w:firstLine="600"/>
        <w:jc w:val="both"/>
      </w:pPr>
      <w:r>
        <w:rPr>
          <w:rFonts w:hint="eastAsia" w:ascii="仿宋_GB2312" w:eastAsia="仿宋_GB2312"/>
          <w:sz w:val="32"/>
          <w:szCs w:val="32"/>
        </w:rPr>
        <w:t>（九）负责水土保持工作。拟订水土保持规划并监督实施，组织实施水土流失的综合防治、监测预报并定期公告。负责市级立项的生产建设项目水土保持监督管理工作，组织实施重点水土保持建设项目。</w:t>
      </w:r>
    </w:p>
    <w:p>
      <w:pPr>
        <w:pStyle w:val="21"/>
        <w:autoSpaceDN w:val="0"/>
        <w:spacing w:line="580" w:lineRule="atLeast"/>
        <w:ind w:firstLine="600"/>
        <w:jc w:val="both"/>
      </w:pPr>
      <w:r>
        <w:rPr>
          <w:rFonts w:hint="eastAsia" w:ascii="仿宋_GB2312" w:eastAsia="仿宋_GB2312"/>
          <w:sz w:val="32"/>
          <w:szCs w:val="32"/>
        </w:rPr>
        <w:t>（十）负责水利行业执法和安全生产工作。负责重大涉水违法事件的查处，协调和仲裁跨旗市区水事纠纷，组织指导水政监察和水行政执法。依法负责水利行业安全生产工作，组织指导水库、水电站大坝、农村水电站的安全监管。</w:t>
      </w:r>
    </w:p>
    <w:p>
      <w:pPr>
        <w:pStyle w:val="21"/>
        <w:autoSpaceDN w:val="0"/>
        <w:spacing w:line="580" w:lineRule="atLeast"/>
        <w:ind w:firstLine="600"/>
        <w:jc w:val="both"/>
      </w:pPr>
      <w:r>
        <w:rPr>
          <w:rFonts w:hint="eastAsia" w:ascii="仿宋_GB2312" w:eastAsia="仿宋_GB2312"/>
          <w:sz w:val="32"/>
          <w:szCs w:val="32"/>
        </w:rPr>
        <w:t>（十一）开展水利科技和相关外事工作。组织开展全市水利行业质量监督工作，拟订全市水利行业的规程规范并监督实施。承担水利科技相关工作。承担水利统计工作。办理国际河流有关涉外事务。</w:t>
      </w:r>
    </w:p>
    <w:p>
      <w:pPr>
        <w:pStyle w:val="21"/>
        <w:autoSpaceDN w:val="0"/>
        <w:spacing w:line="580" w:lineRule="atLeast"/>
        <w:ind w:firstLine="600"/>
        <w:jc w:val="both"/>
      </w:pPr>
      <w:r>
        <w:rPr>
          <w:rFonts w:hint="eastAsia" w:ascii="仿宋_GB2312" w:eastAsia="仿宋_GB2312"/>
          <w:sz w:val="32"/>
          <w:szCs w:val="32"/>
        </w:rPr>
        <w:t>（十二）完成市委、政府和上级业务部门交办的其他工作。</w:t>
      </w:r>
    </w:p>
    <w:p>
      <w:pPr>
        <w:pStyle w:val="21"/>
        <w:autoSpaceDN w:val="0"/>
        <w:spacing w:line="580" w:lineRule="atLeast"/>
        <w:ind w:firstLine="600"/>
        <w:jc w:val="both"/>
      </w:pPr>
      <w:r>
        <w:rPr>
          <w:rFonts w:hint="eastAsia" w:ascii="仿宋_GB2312" w:eastAsia="仿宋_GB2312"/>
          <w:sz w:val="32"/>
          <w:szCs w:val="32"/>
        </w:rPr>
        <w:t>（十三）职能转变。市水利局应切实加强水资源合理利用、优化配置和节约保护工作。坚持节水优先，从增加供给转向更加重视需求管理，严格控制用水总量和提高用水效率。坚持保护优先，加强水资源、水域和水利工程的管理保护，维护河湖健康美丽。坚持统筹兼顾，保障合理用水需求和水资源的可持续利用，为经济社会发展提供水安全保障。</w:t>
      </w:r>
    </w:p>
    <w:p>
      <w:pPr>
        <w:pStyle w:val="21"/>
        <w:autoSpaceDN w:val="0"/>
        <w:spacing w:line="580" w:lineRule="atLeast"/>
        <w:ind w:firstLine="600"/>
        <w:jc w:val="both"/>
      </w:pPr>
      <w:r>
        <w:rPr>
          <w:rFonts w:hint="eastAsia" w:ascii="仿宋_GB2312" w:eastAsia="仿宋_GB2312"/>
          <w:sz w:val="32"/>
          <w:szCs w:val="32"/>
        </w:rPr>
        <w:t>二、机构设置</w:t>
      </w:r>
    </w:p>
    <w:p>
      <w:pPr>
        <w:pStyle w:val="21"/>
        <w:autoSpaceDN w:val="0"/>
        <w:spacing w:line="580" w:lineRule="atLeast"/>
        <w:ind w:firstLine="600"/>
        <w:jc w:val="both"/>
      </w:pPr>
      <w:r>
        <w:rPr>
          <w:rFonts w:hint="eastAsia" w:ascii="仿宋_GB2312" w:eastAsia="仿宋_GB2312"/>
          <w:sz w:val="32"/>
          <w:szCs w:val="32"/>
        </w:rPr>
        <w:t>从决算单位构成看，2020年呼伦贝尔市水利局部门决算包括：部门本级决算和部门所属事业单位决算，其中行政单位1个、参照公务员法管理的事业单位4个、公益一类事业单位3个、公益二类事业单位1个。</w:t>
      </w:r>
    </w:p>
    <w:p>
      <w:pPr>
        <w:pStyle w:val="21"/>
        <w:autoSpaceDN w:val="0"/>
        <w:jc w:val="both"/>
      </w:pPr>
      <w:r>
        <w:rPr>
          <w:rFonts w:hint="eastAsia" w:ascii="仿宋_GB2312" w:eastAsia="仿宋_GB2312"/>
          <w:b/>
          <w:bCs/>
          <w:sz w:val="32"/>
          <w:szCs w:val="32"/>
        </w:rPr>
        <w:t xml:space="preserve"> </w:t>
      </w:r>
    </w:p>
    <w:p>
      <w:pPr>
        <w:pStyle w:val="21"/>
        <w:autoSpaceDN w:val="0"/>
        <w:spacing w:line="580" w:lineRule="atLeast"/>
        <w:ind w:firstLine="2570" w:firstLineChars="800"/>
        <w:jc w:val="both"/>
        <w:rPr>
          <w:rFonts w:hint="eastAsia" w:ascii="仿宋_GB2312" w:eastAsia="仿宋_GB2312"/>
          <w:b/>
          <w:bCs/>
          <w:sz w:val="32"/>
          <w:szCs w:val="32"/>
        </w:rPr>
      </w:pPr>
      <w:r>
        <w:rPr>
          <w:rFonts w:hint="eastAsia" w:ascii="仿宋_GB2312" w:eastAsia="仿宋_GB2312"/>
          <w:b/>
          <w:bCs/>
          <w:sz w:val="32"/>
          <w:szCs w:val="32"/>
        </w:rPr>
        <w:t>决算单位情况表</w:t>
      </w:r>
    </w:p>
    <w:p>
      <w:pPr>
        <w:pStyle w:val="21"/>
        <w:autoSpaceDN w:val="0"/>
        <w:spacing w:line="580" w:lineRule="atLeast"/>
        <w:jc w:val="both"/>
        <w:rPr>
          <w:rFonts w:hint="eastAsia" w:ascii="仿宋_GB2312" w:eastAsia="仿宋_GB2312"/>
          <w:b/>
          <w:bCs/>
          <w:sz w:val="32"/>
          <w:szCs w:val="32"/>
        </w:rPr>
      </w:pPr>
    </w:p>
    <w:p>
      <w:pPr>
        <w:pStyle w:val="21"/>
        <w:autoSpaceDN w:val="0"/>
        <w:spacing w:line="580" w:lineRule="atLeast"/>
        <w:ind w:firstLine="600"/>
        <w:jc w:val="both"/>
      </w:pPr>
      <w:r>
        <w:rPr>
          <w:rFonts w:hint="eastAsia" w:ascii="仿宋_GB2312" w:eastAsia="仿宋_GB2312"/>
          <w:sz w:val="32"/>
          <w:szCs w:val="32"/>
        </w:rPr>
        <w:t xml:space="preserve"> </w:t>
      </w:r>
    </w:p>
    <w:tbl>
      <w:tblPr>
        <w:tblStyle w:val="12"/>
        <w:tblW w:w="0" w:type="auto"/>
        <w:tblInd w:w="0" w:type="dxa"/>
        <w:tblLayout w:type="fixed"/>
        <w:tblCellMar>
          <w:top w:w="0" w:type="dxa"/>
          <w:left w:w="108" w:type="dxa"/>
          <w:bottom w:w="0" w:type="dxa"/>
          <w:right w:w="108" w:type="dxa"/>
        </w:tblCellMar>
      </w:tblPr>
      <w:tblGrid>
        <w:gridCol w:w="889"/>
        <w:gridCol w:w="5923"/>
        <w:gridCol w:w="1493"/>
      </w:tblGrid>
      <w:tr>
        <w:tblPrEx>
          <w:tblCellMar>
            <w:top w:w="0" w:type="dxa"/>
            <w:left w:w="108" w:type="dxa"/>
            <w:bottom w:w="0" w:type="dxa"/>
            <w:right w:w="108" w:type="dxa"/>
          </w:tblCellMar>
        </w:tblPrEx>
        <w:trPr>
          <w:trHeight w:val="780" w:hRule="atLeast"/>
        </w:trPr>
        <w:tc>
          <w:tcPr>
            <w:tcW w:w="889" w:type="dxa"/>
            <w:tcBorders>
              <w:top w:val="single" w:color="000000" w:sz="4" w:space="0"/>
              <w:left w:val="single" w:color="000000" w:sz="4" w:space="0"/>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b/>
                <w:bCs/>
                <w:sz w:val="32"/>
                <w:szCs w:val="32"/>
              </w:rPr>
              <w:t>序号</w:t>
            </w:r>
          </w:p>
        </w:tc>
        <w:tc>
          <w:tcPr>
            <w:tcW w:w="592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b/>
                <w:bCs/>
                <w:sz w:val="32"/>
                <w:szCs w:val="32"/>
              </w:rPr>
              <w:t>单 位 名 称</w:t>
            </w:r>
          </w:p>
        </w:tc>
        <w:tc>
          <w:tcPr>
            <w:tcW w:w="149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b/>
                <w:bCs/>
                <w:sz w:val="32"/>
                <w:szCs w:val="32"/>
              </w:rPr>
              <w:t>单位性质</w:t>
            </w:r>
          </w:p>
        </w:tc>
      </w:tr>
      <w:tr>
        <w:tblPrEx>
          <w:tblCellMar>
            <w:top w:w="0" w:type="dxa"/>
            <w:left w:w="108" w:type="dxa"/>
            <w:bottom w:w="0" w:type="dxa"/>
            <w:right w:w="108" w:type="dxa"/>
          </w:tblCellMar>
        </w:tblPrEx>
        <w:trPr>
          <w:trHeight w:val="268" w:hRule="atLeast"/>
        </w:trPr>
        <w:tc>
          <w:tcPr>
            <w:tcW w:w="889" w:type="dxa"/>
            <w:tcBorders>
              <w:top w:val="single" w:color="000000" w:sz="4" w:space="0"/>
              <w:left w:val="single" w:color="000000" w:sz="4" w:space="0"/>
              <w:bottom w:val="single" w:color="000000" w:sz="4" w:space="0"/>
              <w:right w:val="single" w:color="000000" w:sz="4" w:space="0"/>
            </w:tcBorders>
          </w:tcPr>
          <w:p>
            <w:pPr>
              <w:pStyle w:val="21"/>
              <w:autoSpaceDN w:val="0"/>
              <w:jc w:val="both"/>
              <w:rPr>
                <w:sz w:val="21"/>
                <w:szCs w:val="21"/>
              </w:rPr>
            </w:pPr>
            <w:r>
              <w:rPr>
                <w:rFonts w:hint="eastAsia" w:ascii="仿宋_GB2312" w:eastAsia="仿宋_GB2312"/>
                <w:sz w:val="30"/>
                <w:szCs w:val="30"/>
              </w:rPr>
              <w:t>1</w:t>
            </w:r>
          </w:p>
        </w:tc>
        <w:tc>
          <w:tcPr>
            <w:tcW w:w="5923" w:type="dxa"/>
            <w:tcBorders>
              <w:top w:val="single" w:color="000000" w:sz="4" w:space="0"/>
              <w:left w:val="nil"/>
              <w:bottom w:val="single" w:color="000000" w:sz="4" w:space="0"/>
              <w:right w:val="single" w:color="000000" w:sz="4" w:space="0"/>
            </w:tcBorders>
          </w:tcPr>
          <w:p>
            <w:pPr>
              <w:pStyle w:val="21"/>
              <w:autoSpaceDN w:val="0"/>
              <w:jc w:val="both"/>
              <w:rPr>
                <w:sz w:val="21"/>
                <w:szCs w:val="21"/>
              </w:rPr>
            </w:pPr>
            <w:r>
              <w:rPr>
                <w:rFonts w:hint="eastAsia" w:ascii="仿宋_GB2312" w:eastAsia="仿宋_GB2312"/>
                <w:sz w:val="30"/>
                <w:szCs w:val="30"/>
              </w:rPr>
              <w:t>呼伦贝尔市水利局</w:t>
            </w:r>
          </w:p>
        </w:tc>
        <w:tc>
          <w:tcPr>
            <w:tcW w:w="1493" w:type="dxa"/>
            <w:tcBorders>
              <w:top w:val="single" w:color="000000" w:sz="4" w:space="0"/>
              <w:left w:val="nil"/>
              <w:bottom w:val="single" w:color="000000" w:sz="4" w:space="0"/>
              <w:right w:val="single" w:color="000000" w:sz="4" w:space="0"/>
            </w:tcBorders>
          </w:tcPr>
          <w:p>
            <w:pPr>
              <w:pStyle w:val="21"/>
              <w:autoSpaceDN w:val="0"/>
              <w:jc w:val="both"/>
              <w:rPr>
                <w:sz w:val="21"/>
                <w:szCs w:val="21"/>
              </w:rPr>
            </w:pPr>
            <w:r>
              <w:rPr>
                <w:rFonts w:hint="eastAsia" w:ascii="仿宋_GB2312" w:eastAsia="仿宋_GB2312"/>
                <w:sz w:val="30"/>
                <w:szCs w:val="30"/>
              </w:rPr>
              <w:t>行政</w:t>
            </w:r>
          </w:p>
        </w:tc>
      </w:tr>
      <w:tr>
        <w:tblPrEx>
          <w:tblCellMar>
            <w:top w:w="0" w:type="dxa"/>
            <w:left w:w="108" w:type="dxa"/>
            <w:bottom w:w="0" w:type="dxa"/>
            <w:right w:w="108" w:type="dxa"/>
          </w:tblCellMar>
        </w:tblPrEx>
        <w:tc>
          <w:tcPr>
            <w:tcW w:w="889" w:type="dxa"/>
            <w:tcBorders>
              <w:top w:val="single" w:color="000000" w:sz="4" w:space="0"/>
              <w:left w:val="single" w:color="000000" w:sz="4" w:space="0"/>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2</w:t>
            </w:r>
          </w:p>
        </w:tc>
        <w:tc>
          <w:tcPr>
            <w:tcW w:w="592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呼伦贝尔市水资源管理站</w:t>
            </w:r>
          </w:p>
        </w:tc>
        <w:tc>
          <w:tcPr>
            <w:tcW w:w="149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事业</w:t>
            </w:r>
          </w:p>
        </w:tc>
      </w:tr>
      <w:tr>
        <w:tblPrEx>
          <w:tblCellMar>
            <w:top w:w="0" w:type="dxa"/>
            <w:left w:w="108" w:type="dxa"/>
            <w:bottom w:w="0" w:type="dxa"/>
            <w:right w:w="108" w:type="dxa"/>
          </w:tblCellMar>
        </w:tblPrEx>
        <w:trPr>
          <w:trHeight w:val="600" w:hRule="atLeast"/>
        </w:trPr>
        <w:tc>
          <w:tcPr>
            <w:tcW w:w="889" w:type="dxa"/>
            <w:tcBorders>
              <w:top w:val="single" w:color="000000" w:sz="4" w:space="0"/>
              <w:left w:val="single" w:color="000000" w:sz="4" w:space="0"/>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3</w:t>
            </w:r>
          </w:p>
        </w:tc>
        <w:tc>
          <w:tcPr>
            <w:tcW w:w="592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呼伦贝尔市水利水电工程管理与质量监督站</w:t>
            </w:r>
          </w:p>
        </w:tc>
        <w:tc>
          <w:tcPr>
            <w:tcW w:w="149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参公</w:t>
            </w:r>
          </w:p>
        </w:tc>
      </w:tr>
      <w:tr>
        <w:tblPrEx>
          <w:tblCellMar>
            <w:top w:w="0" w:type="dxa"/>
            <w:left w:w="108" w:type="dxa"/>
            <w:bottom w:w="0" w:type="dxa"/>
            <w:right w:w="108" w:type="dxa"/>
          </w:tblCellMar>
        </w:tblPrEx>
        <w:tc>
          <w:tcPr>
            <w:tcW w:w="889" w:type="dxa"/>
            <w:tcBorders>
              <w:top w:val="single" w:color="000000" w:sz="4" w:space="0"/>
              <w:left w:val="single" w:color="000000" w:sz="4" w:space="0"/>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4</w:t>
            </w:r>
          </w:p>
        </w:tc>
        <w:tc>
          <w:tcPr>
            <w:tcW w:w="592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呼伦贝尔市水利规划设计研究院</w:t>
            </w:r>
          </w:p>
        </w:tc>
        <w:tc>
          <w:tcPr>
            <w:tcW w:w="149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事业</w:t>
            </w:r>
          </w:p>
        </w:tc>
      </w:tr>
      <w:tr>
        <w:tblPrEx>
          <w:tblCellMar>
            <w:top w:w="0" w:type="dxa"/>
            <w:left w:w="108" w:type="dxa"/>
            <w:bottom w:w="0" w:type="dxa"/>
            <w:right w:w="108" w:type="dxa"/>
          </w:tblCellMar>
        </w:tblPrEx>
        <w:tc>
          <w:tcPr>
            <w:tcW w:w="889" w:type="dxa"/>
            <w:tcBorders>
              <w:top w:val="single" w:color="000000" w:sz="4" w:space="0"/>
              <w:left w:val="single" w:color="000000" w:sz="4" w:space="0"/>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5</w:t>
            </w:r>
          </w:p>
        </w:tc>
        <w:tc>
          <w:tcPr>
            <w:tcW w:w="592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呼伦贝尔市水土保持工作站</w:t>
            </w:r>
          </w:p>
        </w:tc>
        <w:tc>
          <w:tcPr>
            <w:tcW w:w="149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参公</w:t>
            </w:r>
          </w:p>
        </w:tc>
      </w:tr>
      <w:tr>
        <w:tblPrEx>
          <w:tblCellMar>
            <w:top w:w="0" w:type="dxa"/>
            <w:left w:w="108" w:type="dxa"/>
            <w:bottom w:w="0" w:type="dxa"/>
            <w:right w:w="108" w:type="dxa"/>
          </w:tblCellMar>
        </w:tblPrEx>
        <w:tc>
          <w:tcPr>
            <w:tcW w:w="889" w:type="dxa"/>
            <w:tcBorders>
              <w:top w:val="single" w:color="000000" w:sz="4" w:space="0"/>
              <w:left w:val="single" w:color="000000" w:sz="4" w:space="0"/>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6</w:t>
            </w:r>
          </w:p>
        </w:tc>
        <w:tc>
          <w:tcPr>
            <w:tcW w:w="592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呼伦贝尔市防汛抗旱信息中心</w:t>
            </w:r>
          </w:p>
        </w:tc>
        <w:tc>
          <w:tcPr>
            <w:tcW w:w="149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事业</w:t>
            </w:r>
          </w:p>
        </w:tc>
      </w:tr>
      <w:tr>
        <w:tblPrEx>
          <w:tblCellMar>
            <w:top w:w="0" w:type="dxa"/>
            <w:left w:w="108" w:type="dxa"/>
            <w:bottom w:w="0" w:type="dxa"/>
            <w:right w:w="108" w:type="dxa"/>
          </w:tblCellMar>
        </w:tblPrEx>
        <w:tc>
          <w:tcPr>
            <w:tcW w:w="889" w:type="dxa"/>
            <w:tcBorders>
              <w:top w:val="single" w:color="000000" w:sz="4" w:space="0"/>
              <w:left w:val="single" w:color="000000" w:sz="4" w:space="0"/>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7</w:t>
            </w:r>
          </w:p>
        </w:tc>
        <w:tc>
          <w:tcPr>
            <w:tcW w:w="592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呼伦贝尔市农牧灌溉排水服务中心</w:t>
            </w:r>
          </w:p>
        </w:tc>
        <w:tc>
          <w:tcPr>
            <w:tcW w:w="149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事业</w:t>
            </w:r>
          </w:p>
        </w:tc>
      </w:tr>
      <w:tr>
        <w:tblPrEx>
          <w:tblCellMar>
            <w:top w:w="0" w:type="dxa"/>
            <w:left w:w="108" w:type="dxa"/>
            <w:bottom w:w="0" w:type="dxa"/>
            <w:right w:w="108" w:type="dxa"/>
          </w:tblCellMar>
        </w:tblPrEx>
        <w:tc>
          <w:tcPr>
            <w:tcW w:w="889" w:type="dxa"/>
            <w:tcBorders>
              <w:top w:val="single" w:color="000000" w:sz="4" w:space="0"/>
              <w:left w:val="single" w:color="000000" w:sz="4" w:space="0"/>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8</w:t>
            </w:r>
          </w:p>
        </w:tc>
        <w:tc>
          <w:tcPr>
            <w:tcW w:w="592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呼伦贝尔市国际界河工程管理处</w:t>
            </w:r>
          </w:p>
        </w:tc>
        <w:tc>
          <w:tcPr>
            <w:tcW w:w="149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参公</w:t>
            </w:r>
          </w:p>
        </w:tc>
      </w:tr>
      <w:tr>
        <w:tblPrEx>
          <w:tblCellMar>
            <w:top w:w="0" w:type="dxa"/>
            <w:left w:w="108" w:type="dxa"/>
            <w:bottom w:w="0" w:type="dxa"/>
            <w:right w:w="108" w:type="dxa"/>
          </w:tblCellMar>
        </w:tblPrEx>
        <w:tc>
          <w:tcPr>
            <w:tcW w:w="889" w:type="dxa"/>
            <w:tcBorders>
              <w:top w:val="single" w:color="000000" w:sz="4" w:space="0"/>
              <w:left w:val="single" w:color="000000" w:sz="4" w:space="0"/>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9</w:t>
            </w:r>
          </w:p>
        </w:tc>
        <w:tc>
          <w:tcPr>
            <w:tcW w:w="592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呼伦贝尔市水政监察支队</w:t>
            </w:r>
          </w:p>
        </w:tc>
        <w:tc>
          <w:tcPr>
            <w:tcW w:w="1493" w:type="dxa"/>
            <w:tcBorders>
              <w:top w:val="single" w:color="000000" w:sz="4" w:space="0"/>
              <w:left w:val="nil"/>
              <w:bottom w:val="single" w:color="000000" w:sz="4" w:space="0"/>
              <w:right w:val="single" w:color="000000" w:sz="4" w:space="0"/>
            </w:tcBorders>
          </w:tcPr>
          <w:p>
            <w:pPr>
              <w:pStyle w:val="21"/>
              <w:autoSpaceDN w:val="0"/>
              <w:spacing w:line="580" w:lineRule="atLeast"/>
              <w:jc w:val="both"/>
              <w:rPr>
                <w:sz w:val="21"/>
                <w:szCs w:val="21"/>
              </w:rPr>
            </w:pPr>
            <w:r>
              <w:rPr>
                <w:rFonts w:hint="eastAsia" w:ascii="仿宋_GB2312" w:eastAsia="仿宋_GB2312"/>
                <w:sz w:val="30"/>
                <w:szCs w:val="30"/>
              </w:rPr>
              <w:t>参公</w:t>
            </w:r>
          </w:p>
        </w:tc>
      </w:tr>
    </w:tbl>
    <w:p>
      <w:pPr>
        <w:pStyle w:val="21"/>
        <w:autoSpaceDN w:val="0"/>
        <w:spacing w:line="580" w:lineRule="atLeast"/>
        <w:ind w:firstLine="600"/>
        <w:jc w:val="both"/>
      </w:pPr>
      <w:r>
        <w:rPr>
          <w:rFonts w:hint="eastAsia" w:ascii="仿宋_GB2312" w:eastAsia="仿宋_GB2312"/>
          <w:sz w:val="32"/>
          <w:szCs w:val="32"/>
        </w:rPr>
        <w:t xml:space="preserve"> </w:t>
      </w:r>
    </w:p>
    <w:p>
      <w:pPr>
        <w:pStyle w:val="21"/>
        <w:autoSpaceDN w:val="0"/>
        <w:spacing w:line="580" w:lineRule="atLeast"/>
        <w:ind w:firstLine="600"/>
        <w:jc w:val="both"/>
      </w:pPr>
      <w:r>
        <w:rPr>
          <w:rFonts w:hint="eastAsia" w:ascii="仿宋_GB2312" w:eastAsia="仿宋_GB2312"/>
          <w:b/>
          <w:bCs/>
          <w:sz w:val="32"/>
          <w:szCs w:val="32"/>
        </w:rPr>
        <w:t>第二部分2020年度部门决算情况说明</w:t>
      </w:r>
    </w:p>
    <w:p>
      <w:pPr>
        <w:pStyle w:val="21"/>
        <w:autoSpaceDN w:val="0"/>
        <w:spacing w:line="580" w:lineRule="atLeast"/>
        <w:ind w:firstLine="600"/>
        <w:jc w:val="both"/>
      </w:pPr>
      <w:r>
        <w:rPr>
          <w:rFonts w:hint="eastAsia" w:ascii="仿宋_GB2312" w:eastAsia="仿宋_GB2312"/>
          <w:sz w:val="32"/>
          <w:szCs w:val="32"/>
        </w:rPr>
        <w:t>一、关于2020年度预算执行情况分析</w:t>
      </w:r>
    </w:p>
    <w:p>
      <w:pPr>
        <w:pStyle w:val="21"/>
        <w:autoSpaceDN w:val="0"/>
        <w:spacing w:line="580" w:lineRule="atLeast"/>
        <w:ind w:firstLine="600"/>
        <w:jc w:val="both"/>
      </w:pPr>
      <w:r>
        <w:rPr>
          <w:rFonts w:hint="eastAsia" w:ascii="仿宋_GB2312" w:eastAsia="仿宋_GB2312"/>
          <w:sz w:val="32"/>
          <w:szCs w:val="32"/>
        </w:rPr>
        <w:t>本部门2020年预算收入1525.39万元，决算收入3878.96万元，比预算增加了2353.57万元，增加154%，是因为本年预算执行时增加了项目资金收入和事业收入。本年全部支出3864.74万元，是因为本年预算执行时增加了项目资金支出和上年结转项目资金在本年列支。本年财政拨款预算收入1525.39万元，本年决算财政拨款收入3386.53万元，增加122.01%，是因为本年增加了项目资金收入。财政拨款支出3058.17万元，是因为项目资金本年没有支付结转下年。</w:t>
      </w:r>
    </w:p>
    <w:p>
      <w:pPr>
        <w:pStyle w:val="21"/>
        <w:autoSpaceDN w:val="0"/>
        <w:spacing w:line="580" w:lineRule="atLeast"/>
        <w:ind w:firstLine="600"/>
        <w:jc w:val="both"/>
      </w:pPr>
      <w:r>
        <w:rPr>
          <w:rFonts w:hint="eastAsia" w:ascii="仿宋_GB2312" w:eastAsia="仿宋_GB2312"/>
          <w:sz w:val="32"/>
          <w:szCs w:val="32"/>
        </w:rPr>
        <w:t>二、关于2020年度决算情况说明</w:t>
      </w:r>
    </w:p>
    <w:p>
      <w:pPr>
        <w:pStyle w:val="21"/>
        <w:autoSpaceDN w:val="0"/>
        <w:spacing w:line="580" w:lineRule="atLeast"/>
        <w:ind w:firstLine="600"/>
        <w:jc w:val="both"/>
      </w:pPr>
      <w:r>
        <w:rPr>
          <w:rFonts w:hint="eastAsia" w:ascii="仿宋_GB2312" w:eastAsia="仿宋_GB2312"/>
          <w:sz w:val="32"/>
          <w:szCs w:val="32"/>
        </w:rPr>
        <w:t>（一）关于收支情况总体说明</w:t>
      </w:r>
    </w:p>
    <w:p>
      <w:pPr>
        <w:pStyle w:val="21"/>
        <w:autoSpaceDN w:val="0"/>
        <w:spacing w:line="580" w:lineRule="atLeast"/>
        <w:ind w:firstLine="600"/>
        <w:jc w:val="both"/>
      </w:pPr>
      <w:r>
        <w:rPr>
          <w:rFonts w:hint="eastAsia" w:ascii="仿宋_GB2312" w:eastAsia="仿宋_GB2312"/>
          <w:sz w:val="32"/>
          <w:szCs w:val="32"/>
        </w:rPr>
        <w:t>本部门2020年度收入总计5,289.61万元，其中：本年收入合计3,878.96万元，使用非财政拨款结余310.27万元，年初结转和结余1,100.38万元；支出总计5,289.61万元，其中：结余分配0.20万元，年末结转和结余1,424.67万元。与2019年度相比，收入总计减少7,832.55万元，下降59.70%；支出总计减少7,832.55万元，下降59.70%。主要原因：一是本年减少了两河圣山等项目资金支出；二是本年有人员调出而使人员支出减少。</w:t>
      </w:r>
    </w:p>
    <w:p>
      <w:pPr>
        <w:pStyle w:val="21"/>
        <w:autoSpaceDN w:val="0"/>
        <w:spacing w:line="580" w:lineRule="atLeast"/>
        <w:ind w:firstLine="600"/>
        <w:jc w:val="both"/>
      </w:pPr>
      <w:r>
        <w:rPr>
          <w:rFonts w:hint="eastAsia" w:ascii="仿宋_GB2312" w:eastAsia="仿宋_GB2312"/>
          <w:sz w:val="32"/>
          <w:szCs w:val="32"/>
        </w:rPr>
        <w:t>（二）关于2020年度收入决算情况说明</w:t>
      </w:r>
    </w:p>
    <w:p>
      <w:pPr>
        <w:pStyle w:val="21"/>
        <w:autoSpaceDN w:val="0"/>
        <w:spacing w:line="580" w:lineRule="atLeast"/>
        <w:ind w:firstLine="600"/>
        <w:jc w:val="both"/>
      </w:pPr>
      <w:r>
        <w:rPr>
          <w:rFonts w:hint="eastAsia" w:ascii="仿宋_GB2312" w:eastAsia="仿宋_GB2312"/>
          <w:sz w:val="32"/>
          <w:szCs w:val="32"/>
        </w:rPr>
        <w:t>本部门2020年度收入合计3,878.96万元，其中：财政拨款收入3,386.53万元，占87.30%；事业收入489.52万元，占12.60%；其他收入2.91万元，占0.10%。</w:t>
      </w:r>
    </w:p>
    <w:p>
      <w:pPr>
        <w:pStyle w:val="21"/>
        <w:autoSpaceDN w:val="0"/>
        <w:spacing w:line="580" w:lineRule="atLeast"/>
        <w:ind w:firstLine="600"/>
        <w:jc w:val="both"/>
      </w:pPr>
      <w:r>
        <w:rPr>
          <w:rFonts w:hint="eastAsia" w:ascii="仿宋_GB2312" w:eastAsia="仿宋_GB2312"/>
          <w:sz w:val="32"/>
          <w:szCs w:val="32"/>
        </w:rPr>
        <w:t>（三）关于2020年度支出决算情况说明</w:t>
      </w:r>
    </w:p>
    <w:p>
      <w:pPr>
        <w:pStyle w:val="21"/>
        <w:autoSpaceDN w:val="0"/>
        <w:spacing w:line="580" w:lineRule="atLeast"/>
        <w:ind w:firstLine="600"/>
        <w:jc w:val="both"/>
      </w:pPr>
      <w:r>
        <w:rPr>
          <w:rFonts w:hint="eastAsia" w:ascii="仿宋_GB2312" w:eastAsia="仿宋_GB2312"/>
          <w:sz w:val="32"/>
          <w:szCs w:val="32"/>
        </w:rPr>
        <w:t>本部门2020年度支出合计3,864.74万元，其中：基本支出2,392.06万元，占61.90%；项目支出1,472.68万元，占38.10%。</w:t>
      </w:r>
    </w:p>
    <w:p>
      <w:pPr>
        <w:pStyle w:val="21"/>
        <w:autoSpaceDN w:val="0"/>
        <w:spacing w:line="580" w:lineRule="atLeast"/>
        <w:ind w:firstLine="600"/>
        <w:jc w:val="both"/>
      </w:pPr>
      <w:r>
        <w:rPr>
          <w:rFonts w:hint="eastAsia" w:ascii="仿宋_GB2312" w:eastAsia="仿宋_GB2312"/>
          <w:sz w:val="32"/>
          <w:szCs w:val="32"/>
        </w:rPr>
        <w:t>（四）关于2020年度财政拨款收入支出决算总体情况说明</w:t>
      </w:r>
    </w:p>
    <w:p>
      <w:pPr>
        <w:pStyle w:val="21"/>
        <w:autoSpaceDN w:val="0"/>
        <w:spacing w:line="580" w:lineRule="atLeast"/>
        <w:ind w:firstLine="600"/>
        <w:jc w:val="both"/>
      </w:pPr>
      <w:r>
        <w:rPr>
          <w:rFonts w:hint="eastAsia" w:ascii="仿宋_GB2312" w:eastAsia="仿宋_GB2312"/>
          <w:sz w:val="32"/>
          <w:szCs w:val="32"/>
        </w:rPr>
        <w:t>本部门2020年度财政拨款收入总计4,468.07万元，其中：年初结转和结余1,081.54万元；支出总计4,468.07万元，其中：年末结转和结余1,409.91万元。与2019年度相比，收入减少7,632.68万元，下降63.10%；支出减少7,632.68万元，下降63.10%。主要原因：一是本年减少了两河圣山等项目资金支出；二是本年有人员调出而使人员支出减少。</w:t>
      </w:r>
    </w:p>
    <w:p>
      <w:pPr>
        <w:pStyle w:val="21"/>
        <w:autoSpaceDN w:val="0"/>
        <w:spacing w:line="580" w:lineRule="atLeast"/>
        <w:ind w:firstLine="600"/>
        <w:jc w:val="both"/>
      </w:pPr>
      <w:r>
        <w:rPr>
          <w:rFonts w:hint="eastAsia" w:ascii="仿宋_GB2312" w:eastAsia="仿宋_GB2312"/>
          <w:sz w:val="32"/>
          <w:szCs w:val="32"/>
        </w:rPr>
        <w:t>（五）关于2020年度一般公共预算财政拨款支出决算情况说明</w:t>
      </w:r>
    </w:p>
    <w:p>
      <w:pPr>
        <w:pStyle w:val="21"/>
        <w:autoSpaceDN w:val="0"/>
        <w:spacing w:line="580" w:lineRule="atLeast"/>
        <w:ind w:firstLine="600"/>
        <w:jc w:val="both"/>
      </w:pPr>
      <w:r>
        <w:rPr>
          <w:rFonts w:hint="eastAsia" w:ascii="仿宋_GB2312" w:eastAsia="仿宋_GB2312"/>
          <w:sz w:val="32"/>
          <w:szCs w:val="32"/>
        </w:rPr>
        <w:t>本部门2020年度一般公共预算财政拨款支出合计3,058.17万元，其中：基本支出1,585.49万元，占51.80%；项目支出1,472.68万元，占48.20%。</w:t>
      </w:r>
    </w:p>
    <w:p>
      <w:pPr>
        <w:pStyle w:val="21"/>
        <w:autoSpaceDN w:val="0"/>
        <w:spacing w:line="580" w:lineRule="atLeast"/>
        <w:ind w:firstLine="600"/>
        <w:jc w:val="both"/>
      </w:pPr>
      <w:r>
        <w:rPr>
          <w:rFonts w:hint="eastAsia" w:ascii="仿宋_GB2312" w:eastAsia="仿宋_GB2312"/>
          <w:sz w:val="32"/>
          <w:szCs w:val="32"/>
        </w:rPr>
        <w:t>（六）关于2020年度一般公共预算财政拨款基本支出决算情况说明</w:t>
      </w:r>
    </w:p>
    <w:p>
      <w:pPr>
        <w:pStyle w:val="21"/>
        <w:autoSpaceDN w:val="0"/>
        <w:spacing w:line="580" w:lineRule="atLeast"/>
        <w:ind w:firstLine="600"/>
        <w:jc w:val="both"/>
      </w:pPr>
      <w:r>
        <w:rPr>
          <w:rFonts w:hint="eastAsia" w:ascii="仿宋_GB2312" w:eastAsia="仿宋_GB2312"/>
          <w:sz w:val="32"/>
          <w:szCs w:val="32"/>
        </w:rPr>
        <w:t>本部门2020年度一般公共预算财政拨款基本支出1,585.49万元，其中：人员经费1,428.48万元，主要包括：基本工资支出432.42万元、津补贴支出349.38万元、奖金支出33.75万元、绩效工资99.51万元、机关事业单位养老保险缴费支出116.41万元、职业年金缴费支出25.88万元、职工基本医疗保险缴费支出74.79万元、公务员医疗补助缴费支出38.23万元、其他社会保障缴费13.81万元、住房公积金支出100.7万元、医疗费14.87万元、其他工资福利支出6.3万元、退休费95.28万元、抚恤金21.79万元、生活补助5.21万元、医疗费补助0.1万元、其他对个人家庭补助支出0.13万元，较上年减少318.18万元，主要原因是：本年有人员调出而减少了人员工资、住房公积金、社会保险缴费支出等；公用经费157.00万元，主要包括：办公费支出16.33万元、印刷费1.27万元、咨询费5万元、手续费0.11万元、电费4.77万元、邮电费2.26万元、取暖费支出42.92万元、差旅费支出35.11万元、维修费4.9万元、培训费0.34万元、劳务费16.87万元、工会经费8.61万元、公务用车运行维护费15.56万元、其他交通费用2.98万元，较上年减少63.89万元，主要原因是：减少了专项性公用经费支出。</w:t>
      </w:r>
    </w:p>
    <w:p>
      <w:pPr>
        <w:pStyle w:val="21"/>
        <w:autoSpaceDN w:val="0"/>
        <w:spacing w:line="580" w:lineRule="atLeast"/>
        <w:ind w:firstLine="600"/>
        <w:jc w:val="both"/>
      </w:pPr>
      <w:r>
        <w:rPr>
          <w:rFonts w:hint="eastAsia" w:ascii="仿宋_GB2312" w:eastAsia="仿宋_GB2312"/>
          <w:sz w:val="32"/>
          <w:szCs w:val="32"/>
        </w:rPr>
        <w:t>（七）关于2020年度财政拨款</w:t>
      </w:r>
      <w:r>
        <w:rPr>
          <w:rFonts w:hint="eastAsia" w:eastAsia="仿宋_GB2312"/>
          <w:sz w:val="32"/>
          <w:szCs w:val="32"/>
        </w:rPr>
        <w:t>“</w:t>
      </w:r>
      <w:r>
        <w:rPr>
          <w:rFonts w:hint="eastAsia" w:ascii="仿宋_GB2312" w:eastAsia="仿宋_GB2312"/>
          <w:sz w:val="32"/>
          <w:szCs w:val="32"/>
        </w:rPr>
        <w:t>三公</w:t>
      </w:r>
      <w:r>
        <w:rPr>
          <w:rFonts w:hint="eastAsia" w:eastAsia="仿宋_GB2312"/>
          <w:sz w:val="32"/>
          <w:szCs w:val="32"/>
        </w:rPr>
        <w:t>”</w:t>
      </w:r>
      <w:r>
        <w:rPr>
          <w:rFonts w:hint="eastAsia" w:ascii="仿宋_GB2312" w:eastAsia="仿宋_GB2312"/>
          <w:sz w:val="32"/>
          <w:szCs w:val="32"/>
        </w:rPr>
        <w:t>经费支出决算情况说明</w:t>
      </w:r>
    </w:p>
    <w:p>
      <w:pPr>
        <w:pStyle w:val="21"/>
        <w:autoSpaceDN w:val="0"/>
        <w:spacing w:line="580" w:lineRule="atLeast"/>
        <w:ind w:firstLine="600"/>
        <w:jc w:val="both"/>
      </w:pPr>
      <w:r>
        <w:rPr>
          <w:rFonts w:hint="eastAsia" w:ascii="仿宋_GB2312" w:eastAsia="仿宋_GB2312"/>
          <w:sz w:val="32"/>
          <w:szCs w:val="32"/>
        </w:rPr>
        <w:t>1、财政拨款</w:t>
      </w:r>
      <w:r>
        <w:rPr>
          <w:rFonts w:hint="eastAsia" w:eastAsia="仿宋_GB2312"/>
          <w:sz w:val="32"/>
          <w:szCs w:val="32"/>
        </w:rPr>
        <w:t>“</w:t>
      </w:r>
      <w:r>
        <w:rPr>
          <w:rFonts w:hint="eastAsia" w:ascii="仿宋_GB2312" w:eastAsia="仿宋_GB2312"/>
          <w:sz w:val="32"/>
          <w:szCs w:val="32"/>
        </w:rPr>
        <w:t>三公</w:t>
      </w:r>
      <w:r>
        <w:rPr>
          <w:rFonts w:hint="eastAsia" w:eastAsia="仿宋_GB2312"/>
          <w:sz w:val="32"/>
          <w:szCs w:val="32"/>
        </w:rPr>
        <w:t>”</w:t>
      </w:r>
      <w:r>
        <w:rPr>
          <w:rFonts w:hint="eastAsia" w:ascii="仿宋_GB2312" w:eastAsia="仿宋_GB2312"/>
          <w:sz w:val="32"/>
          <w:szCs w:val="32"/>
        </w:rPr>
        <w:t>经费支出决算总体情况说明</w:t>
      </w:r>
    </w:p>
    <w:p>
      <w:pPr>
        <w:pStyle w:val="21"/>
        <w:autoSpaceDN w:val="0"/>
        <w:spacing w:line="580" w:lineRule="atLeast"/>
        <w:ind w:firstLine="600"/>
        <w:jc w:val="both"/>
      </w:pPr>
      <w:r>
        <w:rPr>
          <w:rFonts w:hint="eastAsia" w:ascii="仿宋_GB2312" w:eastAsia="仿宋_GB2312"/>
          <w:sz w:val="32"/>
          <w:szCs w:val="32"/>
        </w:rPr>
        <w:t>本部门2020年度财政拨款</w:t>
      </w:r>
      <w:r>
        <w:rPr>
          <w:rFonts w:hint="eastAsia" w:eastAsia="仿宋_GB2312"/>
          <w:sz w:val="32"/>
          <w:szCs w:val="32"/>
        </w:rPr>
        <w:t>“</w:t>
      </w:r>
      <w:r>
        <w:rPr>
          <w:rFonts w:hint="eastAsia" w:ascii="仿宋_GB2312" w:eastAsia="仿宋_GB2312"/>
          <w:sz w:val="32"/>
          <w:szCs w:val="32"/>
        </w:rPr>
        <w:t>三公</w:t>
      </w:r>
      <w:r>
        <w:rPr>
          <w:rFonts w:hint="eastAsia" w:eastAsia="仿宋_GB2312"/>
          <w:sz w:val="32"/>
          <w:szCs w:val="32"/>
        </w:rPr>
        <w:t>”</w:t>
      </w:r>
      <w:r>
        <w:rPr>
          <w:rFonts w:hint="eastAsia" w:ascii="仿宋_GB2312" w:eastAsia="仿宋_GB2312"/>
          <w:sz w:val="32"/>
          <w:szCs w:val="32"/>
        </w:rPr>
        <w:t>经费预算为23.32万元，支出决算为15.56万元，完成预算的66.70%，其中：因公出国（境）费预算为0.00万元，支出决算为0.00万元，完成预算的0.00%；公务用车购置及运行维护费预算为19.18万元，支出决算为15.56万元，完成预算的81.10%；公务接待费预算为4.14万元，支出决算为0.00万元，完成预算的0.00%。2020年度财政拨款</w:t>
      </w:r>
      <w:r>
        <w:rPr>
          <w:rFonts w:hint="eastAsia" w:eastAsia="仿宋_GB2312"/>
          <w:sz w:val="32"/>
          <w:szCs w:val="32"/>
        </w:rPr>
        <w:t>“</w:t>
      </w:r>
      <w:r>
        <w:rPr>
          <w:rFonts w:hint="eastAsia" w:ascii="仿宋_GB2312" w:eastAsia="仿宋_GB2312"/>
          <w:sz w:val="32"/>
          <w:szCs w:val="32"/>
        </w:rPr>
        <w:t>三公</w:t>
      </w:r>
      <w:r>
        <w:rPr>
          <w:rFonts w:hint="eastAsia" w:eastAsia="仿宋_GB2312"/>
          <w:sz w:val="32"/>
          <w:szCs w:val="32"/>
        </w:rPr>
        <w:t>”</w:t>
      </w:r>
      <w:r>
        <w:rPr>
          <w:rFonts w:hint="eastAsia" w:ascii="仿宋_GB2312" w:eastAsia="仿宋_GB2312"/>
          <w:sz w:val="32"/>
          <w:szCs w:val="32"/>
        </w:rPr>
        <w:t>经费支出决算与预算差异情况的原因：一是本年没有公务接待费支出；二是压减公车运行维护费支出。</w:t>
      </w:r>
    </w:p>
    <w:p>
      <w:pPr>
        <w:pStyle w:val="21"/>
        <w:autoSpaceDN w:val="0"/>
        <w:spacing w:line="580" w:lineRule="atLeast"/>
        <w:ind w:firstLine="600"/>
        <w:jc w:val="both"/>
      </w:pPr>
      <w:r>
        <w:rPr>
          <w:rFonts w:hint="eastAsia" w:ascii="仿宋_GB2312" w:eastAsia="仿宋_GB2312"/>
          <w:sz w:val="32"/>
          <w:szCs w:val="32"/>
        </w:rPr>
        <w:t>2、财政拨款</w:t>
      </w:r>
      <w:r>
        <w:rPr>
          <w:rFonts w:hint="eastAsia" w:eastAsia="仿宋_GB2312"/>
          <w:sz w:val="32"/>
          <w:szCs w:val="32"/>
        </w:rPr>
        <w:t>“</w:t>
      </w:r>
      <w:r>
        <w:rPr>
          <w:rFonts w:hint="eastAsia" w:ascii="仿宋_GB2312" w:eastAsia="仿宋_GB2312"/>
          <w:sz w:val="32"/>
          <w:szCs w:val="32"/>
        </w:rPr>
        <w:t>三公</w:t>
      </w:r>
      <w:r>
        <w:rPr>
          <w:rFonts w:hint="eastAsia" w:eastAsia="仿宋_GB2312"/>
          <w:sz w:val="32"/>
          <w:szCs w:val="32"/>
        </w:rPr>
        <w:t>”</w:t>
      </w:r>
      <w:r>
        <w:rPr>
          <w:rFonts w:hint="eastAsia" w:ascii="仿宋_GB2312" w:eastAsia="仿宋_GB2312"/>
          <w:sz w:val="32"/>
          <w:szCs w:val="32"/>
        </w:rPr>
        <w:t>经费支出决算具体情况说明</w:t>
      </w:r>
    </w:p>
    <w:p>
      <w:pPr>
        <w:pStyle w:val="21"/>
        <w:autoSpaceDN w:val="0"/>
        <w:spacing w:line="580" w:lineRule="atLeast"/>
        <w:ind w:firstLine="600"/>
        <w:jc w:val="both"/>
      </w:pPr>
      <w:r>
        <w:rPr>
          <w:rFonts w:hint="eastAsia" w:ascii="仿宋_GB2312" w:eastAsia="仿宋_GB2312"/>
          <w:sz w:val="32"/>
          <w:szCs w:val="32"/>
        </w:rPr>
        <w:t>本部门2020年度财政拨款</w:t>
      </w:r>
      <w:r>
        <w:rPr>
          <w:rFonts w:hint="eastAsia" w:eastAsia="仿宋_GB2312"/>
          <w:sz w:val="32"/>
          <w:szCs w:val="32"/>
        </w:rPr>
        <w:t>“</w:t>
      </w:r>
      <w:r>
        <w:rPr>
          <w:rFonts w:hint="eastAsia" w:ascii="仿宋_GB2312" w:eastAsia="仿宋_GB2312"/>
          <w:sz w:val="32"/>
          <w:szCs w:val="32"/>
        </w:rPr>
        <w:t>三公</w:t>
      </w:r>
      <w:r>
        <w:rPr>
          <w:rFonts w:hint="eastAsia" w:eastAsia="仿宋_GB2312"/>
          <w:sz w:val="32"/>
          <w:szCs w:val="32"/>
        </w:rPr>
        <w:t>”</w:t>
      </w:r>
      <w:r>
        <w:rPr>
          <w:rFonts w:hint="eastAsia" w:ascii="仿宋_GB2312" w:eastAsia="仿宋_GB2312"/>
          <w:sz w:val="32"/>
          <w:szCs w:val="32"/>
        </w:rPr>
        <w:t>经费支出15.56万元，因公出国（境）费支出0.00万元，占0.00%；公务用车购置及运行维护费支出15.56万元，占100.00%；公务接待费支出0.00万元，占0.00%。具体情况如下：</w:t>
      </w:r>
    </w:p>
    <w:p>
      <w:pPr>
        <w:pStyle w:val="21"/>
        <w:autoSpaceDN w:val="0"/>
        <w:spacing w:line="580" w:lineRule="atLeast"/>
        <w:ind w:firstLine="600"/>
        <w:jc w:val="both"/>
      </w:pPr>
      <w:r>
        <w:rPr>
          <w:rFonts w:hint="eastAsia" w:ascii="仿宋_GB2312" w:eastAsia="仿宋_GB2312"/>
          <w:b/>
          <w:bCs/>
          <w:sz w:val="32"/>
          <w:szCs w:val="32"/>
        </w:rPr>
        <w:t>因公出国（境）费支出</w:t>
      </w:r>
      <w:r>
        <w:rPr>
          <w:rFonts w:hint="eastAsia" w:ascii="仿宋_GB2312" w:eastAsia="仿宋_GB2312"/>
          <w:sz w:val="32"/>
          <w:szCs w:val="32"/>
        </w:rPr>
        <w:t>0.00万元。全年因公出国（境）团组0个，累计0人次。较上年增加0.00万元，主要原因是本部门没有因公出国（境）情况。</w:t>
      </w:r>
    </w:p>
    <w:p>
      <w:pPr>
        <w:pStyle w:val="21"/>
        <w:autoSpaceDN w:val="0"/>
        <w:spacing w:line="580" w:lineRule="atLeast"/>
        <w:ind w:firstLine="600"/>
        <w:jc w:val="both"/>
      </w:pPr>
      <w:r>
        <w:rPr>
          <w:rFonts w:hint="eastAsia" w:ascii="仿宋_GB2312" w:eastAsia="仿宋_GB2312"/>
          <w:b/>
          <w:bCs/>
          <w:sz w:val="32"/>
          <w:szCs w:val="32"/>
        </w:rPr>
        <w:t>公务用车购置及运行维护费支出</w:t>
      </w:r>
      <w:r>
        <w:rPr>
          <w:rFonts w:hint="eastAsia" w:ascii="仿宋_GB2312" w:eastAsia="仿宋_GB2312"/>
          <w:sz w:val="32"/>
          <w:szCs w:val="32"/>
        </w:rPr>
        <w:t>15.56万元。其中：公务用车购置支出0.00万元，车均购置费0.00万元，公务用车购置支出较上年增加0.00万元，主要原因是本部门2020年没有购置公务用车。公务用车运行维护费支出15.56万元，用于公务用车的运行维护支出，车均运维费3.11万元，公务用车运行维护费支出较上年减少13.00万元，主要原因是节能减排严格控制公车的使用，能联合下乡的联合下乡，能网上办的网上办，尽量减少公务用车。财政拨款开支的公务用车保有量为5辆。</w:t>
      </w:r>
    </w:p>
    <w:p>
      <w:pPr>
        <w:pStyle w:val="21"/>
        <w:autoSpaceDN w:val="0"/>
        <w:spacing w:line="580" w:lineRule="atLeast"/>
        <w:ind w:firstLine="600"/>
        <w:jc w:val="both"/>
      </w:pPr>
      <w:r>
        <w:rPr>
          <w:rFonts w:hint="eastAsia" w:ascii="仿宋_GB2312" w:eastAsia="仿宋_GB2312"/>
          <w:b/>
          <w:bCs/>
          <w:sz w:val="32"/>
          <w:szCs w:val="32"/>
        </w:rPr>
        <w:t>公务接待费支出</w:t>
      </w:r>
      <w:r>
        <w:rPr>
          <w:rFonts w:hint="eastAsia" w:ascii="仿宋_GB2312" w:eastAsia="仿宋_GB2312"/>
          <w:sz w:val="32"/>
          <w:szCs w:val="32"/>
        </w:rPr>
        <w:t>0.00万元</w:t>
      </w:r>
      <w:r>
        <w:rPr>
          <w:rFonts w:hint="eastAsia" w:ascii="仿宋_GB2312" w:eastAsia="仿宋_GB2312"/>
          <w:sz w:val="32"/>
          <w:szCs w:val="32"/>
          <w:lang w:eastAsia="zh-CN"/>
        </w:rPr>
        <w:t>，</w:t>
      </w:r>
      <w:r>
        <w:rPr>
          <w:rFonts w:hint="eastAsia" w:ascii="仿宋_GB2312" w:eastAsia="仿宋_GB2312"/>
          <w:sz w:val="32"/>
          <w:szCs w:val="32"/>
        </w:rPr>
        <w:t>较上年增加0.00万元</w:t>
      </w:r>
      <w:r>
        <w:rPr>
          <w:rFonts w:hint="eastAsia" w:ascii="仿宋_GB2312" w:eastAsia="仿宋_GB2312"/>
          <w:sz w:val="32"/>
          <w:szCs w:val="32"/>
          <w:lang w:eastAsia="zh-CN"/>
        </w:rPr>
        <w:t>，</w:t>
      </w:r>
      <w:r>
        <w:rPr>
          <w:rFonts w:hint="eastAsia" w:ascii="仿宋_GB2312" w:eastAsia="仿宋_GB2312"/>
          <w:sz w:val="32"/>
          <w:szCs w:val="32"/>
        </w:rPr>
        <w:t>主要原因是本年度没有公务接待。</w:t>
      </w:r>
      <w:r>
        <w:rPr>
          <w:rFonts w:hint="eastAsia" w:ascii="仿宋_GB2312" w:eastAsia="仿宋_GB2312"/>
          <w:sz w:val="32"/>
          <w:szCs w:val="32"/>
          <w:lang w:eastAsia="zh-CN"/>
        </w:rPr>
        <w:t>其中：国内公务接待费</w:t>
      </w:r>
      <w:r>
        <w:rPr>
          <w:rFonts w:hint="eastAsia" w:ascii="仿宋_GB2312" w:eastAsia="仿宋_GB2312"/>
          <w:sz w:val="32"/>
          <w:szCs w:val="32"/>
          <w:lang w:val="en-US" w:eastAsia="zh-CN"/>
        </w:rPr>
        <w:t>0.00元，接待0批次，共接待0人次。国（境）外接待0.00万元，接待0批次，共接待0人次。</w:t>
      </w:r>
    </w:p>
    <w:p>
      <w:pPr>
        <w:pStyle w:val="21"/>
        <w:autoSpaceDN w:val="0"/>
        <w:spacing w:line="580" w:lineRule="atLeast"/>
        <w:ind w:firstLine="600"/>
        <w:jc w:val="both"/>
      </w:pPr>
      <w:r>
        <w:rPr>
          <w:rFonts w:hint="eastAsia" w:ascii="仿宋_GB2312" w:eastAsia="仿宋_GB2312"/>
          <w:sz w:val="32"/>
          <w:szCs w:val="32"/>
        </w:rPr>
        <w:t>三、预算绩效情况说明</w:t>
      </w:r>
    </w:p>
    <w:p>
      <w:pPr>
        <w:pStyle w:val="21"/>
        <w:autoSpaceDN w:val="0"/>
        <w:spacing w:line="580" w:lineRule="atLeast"/>
        <w:ind w:firstLine="600"/>
        <w:jc w:val="both"/>
      </w:pPr>
      <w:r>
        <w:rPr>
          <w:rFonts w:hint="eastAsia" w:ascii="仿宋_GB2312" w:eastAsia="仿宋_GB2312"/>
          <w:sz w:val="32"/>
          <w:szCs w:val="32"/>
        </w:rPr>
        <w:t>（一）预算绩效管理工作开展情况</w:t>
      </w:r>
    </w:p>
    <w:p>
      <w:pPr>
        <w:pStyle w:val="21"/>
        <w:autoSpaceDN w:val="0"/>
        <w:spacing w:line="580" w:lineRule="atLeast"/>
        <w:ind w:firstLine="600"/>
        <w:jc w:val="both"/>
      </w:pPr>
      <w:r>
        <w:rPr>
          <w:rFonts w:hint="eastAsia" w:ascii="仿宋_GB2312" w:eastAsia="仿宋_GB2312"/>
          <w:sz w:val="32"/>
          <w:szCs w:val="32"/>
        </w:rPr>
        <w:t>根据预算绩效管理要求，我部门（单位）组织对2020年度一般公共预算项目支出全面开展绩效自评，其中项目8 个，共涉及资金</w:t>
      </w:r>
      <w:r>
        <w:rPr>
          <w:rFonts w:hint="eastAsia" w:ascii="仿宋_GB2312" w:eastAsia="仿宋_GB2312"/>
        </w:rPr>
        <w:t xml:space="preserve"> </w:t>
      </w:r>
      <w:r>
        <w:rPr>
          <w:rFonts w:hint="eastAsia" w:ascii="仿宋_GB2312" w:eastAsia="仿宋_GB2312"/>
          <w:sz w:val="32"/>
          <w:szCs w:val="32"/>
        </w:rPr>
        <w:t>1472.68万元，占一般公共预算项目支出总额的100%；本部门没有政府性基金预算项目。</w:t>
      </w:r>
    </w:p>
    <w:p>
      <w:pPr>
        <w:pStyle w:val="21"/>
        <w:autoSpaceDN w:val="0"/>
        <w:spacing w:line="580" w:lineRule="atLeast"/>
        <w:ind w:firstLine="600"/>
        <w:jc w:val="both"/>
      </w:pPr>
      <w:r>
        <w:rPr>
          <w:rFonts w:hint="eastAsia" w:ascii="仿宋_GB2312" w:eastAsia="仿宋_GB2312"/>
          <w:sz w:val="32"/>
          <w:szCs w:val="32"/>
        </w:rPr>
        <w:t>组织对“河湖水域岸线保护规划</w:t>
      </w:r>
      <w:r>
        <w:rPr>
          <w:rFonts w:hint="eastAsia" w:ascii="仿宋_GB2312" w:eastAsia="仿宋_GB2312"/>
        </w:rPr>
        <w:t xml:space="preserve"> </w:t>
      </w:r>
      <w:r>
        <w:rPr>
          <w:rFonts w:hint="eastAsia" w:ascii="仿宋_GB2312" w:eastAsia="仿宋_GB2312"/>
          <w:sz w:val="32"/>
          <w:szCs w:val="32"/>
        </w:rPr>
        <w:t>项目</w:t>
      </w:r>
      <w:r>
        <w:rPr>
          <w:rFonts w:hint="eastAsia" w:ascii="仿宋_GB2312" w:eastAsia="仿宋_GB2312"/>
        </w:rPr>
        <w:t xml:space="preserve"> </w:t>
      </w:r>
      <w:r>
        <w:rPr>
          <w:rFonts w:hint="eastAsia" w:ascii="仿宋_GB2312" w:eastAsia="仿宋_GB2312"/>
          <w:sz w:val="32"/>
          <w:szCs w:val="32"/>
        </w:rPr>
        <w:t>”、</w:t>
      </w:r>
      <w:r>
        <w:rPr>
          <w:rFonts w:hint="eastAsia" w:eastAsia="仿宋_GB2312"/>
          <w:sz w:val="32"/>
          <w:szCs w:val="32"/>
        </w:rPr>
        <w:t xml:space="preserve">“ </w:t>
      </w:r>
      <w:r>
        <w:rPr>
          <w:rFonts w:hint="eastAsia" w:ascii="仿宋_GB2312" w:eastAsia="仿宋_GB2312"/>
          <w:sz w:val="32"/>
          <w:szCs w:val="32"/>
        </w:rPr>
        <w:t>防汛抗旱项目</w:t>
      </w:r>
      <w:r>
        <w:rPr>
          <w:rFonts w:hint="eastAsia" w:ascii="仿宋_GB2312" w:eastAsia="仿宋_GB2312"/>
        </w:rPr>
        <w:t xml:space="preserve"> </w:t>
      </w:r>
      <w:r>
        <w:rPr>
          <w:rFonts w:hint="eastAsia" w:ascii="仿宋_GB2312" w:eastAsia="仿宋_GB2312"/>
          <w:sz w:val="32"/>
          <w:szCs w:val="32"/>
        </w:rPr>
        <w:t>”、</w:t>
      </w:r>
      <w:r>
        <w:rPr>
          <w:rFonts w:hint="eastAsia" w:eastAsia="仿宋_GB2312"/>
          <w:sz w:val="32"/>
          <w:szCs w:val="32"/>
        </w:rPr>
        <w:t>“</w:t>
      </w:r>
      <w:r>
        <w:rPr>
          <w:rFonts w:hint="eastAsia" w:ascii="仿宋_GB2312" w:eastAsia="仿宋_GB2312"/>
        </w:rPr>
        <w:t xml:space="preserve"> </w:t>
      </w:r>
      <w:r>
        <w:rPr>
          <w:rFonts w:hint="eastAsia" w:ascii="仿宋_GB2312" w:eastAsia="仿宋_GB2312"/>
          <w:sz w:val="32"/>
          <w:szCs w:val="32"/>
        </w:rPr>
        <w:t>市级河湖水生态综合治理规划项目</w:t>
      </w:r>
      <w:r>
        <w:rPr>
          <w:rFonts w:hint="eastAsia" w:ascii="仿宋_GB2312" w:eastAsia="仿宋_GB2312"/>
        </w:rPr>
        <w:t xml:space="preserve"> </w:t>
      </w:r>
      <w:r>
        <w:rPr>
          <w:rFonts w:hint="eastAsia" w:ascii="仿宋_GB2312" w:eastAsia="仿宋_GB2312"/>
          <w:sz w:val="32"/>
          <w:szCs w:val="32"/>
        </w:rPr>
        <w:t>”、</w:t>
      </w:r>
      <w:r>
        <w:rPr>
          <w:rFonts w:hint="eastAsia" w:eastAsia="仿宋_GB2312"/>
          <w:sz w:val="32"/>
          <w:szCs w:val="32"/>
        </w:rPr>
        <w:t>“</w:t>
      </w:r>
      <w:r>
        <w:rPr>
          <w:rFonts w:hint="eastAsia" w:ascii="仿宋_GB2312" w:eastAsia="仿宋_GB2312"/>
        </w:rPr>
        <w:t xml:space="preserve"> </w:t>
      </w:r>
      <w:r>
        <w:rPr>
          <w:rFonts w:hint="eastAsia" w:ascii="仿宋_GB2312" w:eastAsia="仿宋_GB2312"/>
          <w:sz w:val="32"/>
          <w:szCs w:val="32"/>
        </w:rPr>
        <w:t>嫩江甘河大型灌区项目”、</w:t>
      </w:r>
      <w:r>
        <w:rPr>
          <w:rFonts w:hint="eastAsia" w:eastAsia="仿宋_GB2312"/>
          <w:sz w:val="32"/>
          <w:szCs w:val="32"/>
        </w:rPr>
        <w:t>“</w:t>
      </w:r>
      <w:r>
        <w:rPr>
          <w:rFonts w:hint="eastAsia" w:ascii="仿宋_GB2312" w:eastAsia="仿宋_GB2312"/>
          <w:sz w:val="32"/>
          <w:szCs w:val="32"/>
        </w:rPr>
        <w:t>取水口核查登记项目</w:t>
      </w:r>
      <w:r>
        <w:rPr>
          <w:rFonts w:hint="eastAsia" w:eastAsia="仿宋_GB2312"/>
          <w:sz w:val="32"/>
          <w:szCs w:val="32"/>
        </w:rPr>
        <w:t>”</w:t>
      </w:r>
      <w:r>
        <w:rPr>
          <w:rFonts w:hint="eastAsia" w:ascii="仿宋_GB2312" w:eastAsia="仿宋_GB2312"/>
          <w:sz w:val="32"/>
          <w:szCs w:val="32"/>
        </w:rPr>
        <w:t>等</w:t>
      </w:r>
      <w:r>
        <w:rPr>
          <w:rFonts w:hint="eastAsia" w:ascii="仿宋_GB2312" w:eastAsia="仿宋_GB2312"/>
          <w:sz w:val="32"/>
          <w:szCs w:val="32"/>
          <w:lang w:val="en-US" w:eastAsia="zh-CN"/>
        </w:rPr>
        <w:t>5</w:t>
      </w:r>
      <w:r>
        <w:rPr>
          <w:rFonts w:hint="eastAsia" w:ascii="仿宋_GB2312" w:eastAsia="仿宋_GB2312"/>
          <w:sz w:val="32"/>
          <w:szCs w:val="32"/>
        </w:rPr>
        <w:t>个项目开展了部门评价，涉及一般公共预算支出</w:t>
      </w:r>
      <w:r>
        <w:rPr>
          <w:rFonts w:hint="eastAsia" w:ascii="仿宋_GB2312" w:eastAsia="仿宋_GB2312"/>
          <w:color w:val="auto"/>
        </w:rPr>
        <w:t xml:space="preserve"> </w:t>
      </w:r>
      <w:r>
        <w:rPr>
          <w:rFonts w:hint="eastAsia" w:ascii="仿宋_GB2312" w:eastAsia="仿宋_GB2312"/>
          <w:color w:val="auto"/>
          <w:sz w:val="32"/>
          <w:szCs w:val="32"/>
          <w:lang w:val="en-US" w:eastAsia="zh-CN"/>
        </w:rPr>
        <w:t>1169.91</w:t>
      </w:r>
      <w:r>
        <w:rPr>
          <w:rFonts w:hint="eastAsia" w:ascii="仿宋_GB2312" w:eastAsia="仿宋_GB2312"/>
          <w:sz w:val="32"/>
          <w:szCs w:val="32"/>
        </w:rPr>
        <w:t>万元。</w:t>
      </w:r>
    </w:p>
    <w:p>
      <w:pPr>
        <w:pStyle w:val="21"/>
        <w:autoSpaceDN w:val="0"/>
        <w:spacing w:line="580" w:lineRule="atLeast"/>
        <w:ind w:firstLine="600"/>
        <w:jc w:val="both"/>
      </w:pPr>
      <w:r>
        <w:rPr>
          <w:rFonts w:hint="eastAsia" w:ascii="仿宋_GB2312" w:eastAsia="仿宋_GB2312"/>
          <w:sz w:val="32"/>
          <w:szCs w:val="32"/>
        </w:rPr>
        <w:t>（二）部门决算中项目绩效自评结果</w:t>
      </w:r>
    </w:p>
    <w:p>
      <w:pPr>
        <w:pStyle w:val="21"/>
        <w:autoSpaceDN w:val="0"/>
        <w:spacing w:line="580" w:lineRule="atLeast"/>
        <w:ind w:firstLine="600"/>
        <w:jc w:val="both"/>
      </w:pPr>
      <w:r>
        <w:rPr>
          <w:rFonts w:hint="eastAsia" w:ascii="仿宋_GB2312" w:eastAsia="仿宋_GB2312"/>
          <w:sz w:val="32"/>
          <w:szCs w:val="32"/>
        </w:rPr>
        <w:t>我部门今年在在部门决算中反映“河湖水域岸线保护规划</w:t>
      </w:r>
      <w:r>
        <w:rPr>
          <w:rFonts w:hint="eastAsia" w:ascii="仿宋_GB2312" w:eastAsia="仿宋_GB2312"/>
        </w:rPr>
        <w:t xml:space="preserve"> </w:t>
      </w:r>
      <w:r>
        <w:rPr>
          <w:rFonts w:hint="eastAsia" w:ascii="仿宋_GB2312" w:eastAsia="仿宋_GB2312"/>
          <w:sz w:val="32"/>
          <w:szCs w:val="32"/>
        </w:rPr>
        <w:t>项目</w:t>
      </w:r>
      <w:r>
        <w:rPr>
          <w:rFonts w:hint="eastAsia" w:ascii="仿宋_GB2312" w:eastAsia="仿宋_GB2312"/>
        </w:rPr>
        <w:t xml:space="preserve"> </w:t>
      </w:r>
      <w:r>
        <w:rPr>
          <w:rFonts w:hint="eastAsia" w:ascii="仿宋_GB2312" w:eastAsia="仿宋_GB2312"/>
          <w:sz w:val="32"/>
          <w:szCs w:val="32"/>
        </w:rPr>
        <w:t>”、</w:t>
      </w:r>
      <w:r>
        <w:rPr>
          <w:rFonts w:hint="eastAsia" w:eastAsia="仿宋_GB2312"/>
          <w:sz w:val="32"/>
          <w:szCs w:val="32"/>
        </w:rPr>
        <w:t xml:space="preserve">“ </w:t>
      </w:r>
      <w:r>
        <w:rPr>
          <w:rFonts w:hint="eastAsia" w:ascii="仿宋_GB2312" w:eastAsia="仿宋_GB2312"/>
          <w:sz w:val="32"/>
          <w:szCs w:val="32"/>
        </w:rPr>
        <w:t>防汛抗旱项目</w:t>
      </w:r>
      <w:r>
        <w:rPr>
          <w:rFonts w:hint="eastAsia" w:ascii="仿宋_GB2312" w:eastAsia="仿宋_GB2312"/>
        </w:rPr>
        <w:t xml:space="preserve"> </w:t>
      </w:r>
      <w:r>
        <w:rPr>
          <w:rFonts w:hint="eastAsia" w:ascii="仿宋_GB2312" w:eastAsia="仿宋_GB2312"/>
          <w:sz w:val="32"/>
          <w:szCs w:val="32"/>
        </w:rPr>
        <w:t>”、</w:t>
      </w:r>
      <w:r>
        <w:rPr>
          <w:rFonts w:hint="eastAsia" w:eastAsia="仿宋_GB2312"/>
          <w:sz w:val="32"/>
          <w:szCs w:val="32"/>
        </w:rPr>
        <w:t>“</w:t>
      </w:r>
      <w:r>
        <w:rPr>
          <w:rFonts w:hint="eastAsia" w:ascii="仿宋_GB2312" w:eastAsia="仿宋_GB2312"/>
        </w:rPr>
        <w:t xml:space="preserve"> </w:t>
      </w:r>
      <w:r>
        <w:rPr>
          <w:rFonts w:hint="eastAsia" w:ascii="仿宋_GB2312" w:eastAsia="仿宋_GB2312"/>
          <w:sz w:val="32"/>
          <w:szCs w:val="32"/>
        </w:rPr>
        <w:t>市级河湖水生态综合治理规划项目</w:t>
      </w:r>
      <w:r>
        <w:rPr>
          <w:rFonts w:hint="eastAsia" w:ascii="仿宋_GB2312" w:eastAsia="仿宋_GB2312"/>
        </w:rPr>
        <w:t xml:space="preserve"> </w:t>
      </w:r>
      <w:r>
        <w:rPr>
          <w:rFonts w:hint="eastAsia" w:ascii="仿宋_GB2312" w:eastAsia="仿宋_GB2312"/>
          <w:sz w:val="32"/>
          <w:szCs w:val="32"/>
        </w:rPr>
        <w:t>”、</w:t>
      </w:r>
      <w:r>
        <w:rPr>
          <w:rFonts w:hint="eastAsia" w:eastAsia="仿宋_GB2312"/>
          <w:sz w:val="32"/>
          <w:szCs w:val="32"/>
        </w:rPr>
        <w:t>“</w:t>
      </w:r>
      <w:r>
        <w:rPr>
          <w:rFonts w:hint="eastAsia" w:ascii="仿宋_GB2312" w:eastAsia="仿宋_GB2312"/>
        </w:rPr>
        <w:t xml:space="preserve"> </w:t>
      </w:r>
      <w:r>
        <w:rPr>
          <w:rFonts w:hint="eastAsia" w:ascii="仿宋_GB2312" w:eastAsia="仿宋_GB2312"/>
          <w:sz w:val="32"/>
          <w:szCs w:val="32"/>
        </w:rPr>
        <w:t>嫩江甘河大型灌区项目”、</w:t>
      </w:r>
      <w:r>
        <w:rPr>
          <w:rFonts w:hint="eastAsia" w:eastAsia="仿宋_GB2312"/>
          <w:sz w:val="32"/>
          <w:szCs w:val="32"/>
        </w:rPr>
        <w:t>“</w:t>
      </w:r>
      <w:r>
        <w:rPr>
          <w:rFonts w:hint="eastAsia" w:ascii="仿宋_GB2312" w:eastAsia="仿宋_GB2312"/>
          <w:sz w:val="32"/>
          <w:szCs w:val="32"/>
        </w:rPr>
        <w:t>取水口核查登记项目</w:t>
      </w:r>
      <w:r>
        <w:rPr>
          <w:rFonts w:hint="eastAsia" w:eastAsia="仿宋_GB2312"/>
          <w:sz w:val="32"/>
          <w:szCs w:val="32"/>
        </w:rPr>
        <w:t>”</w:t>
      </w:r>
      <w:r>
        <w:rPr>
          <w:rFonts w:hint="eastAsia" w:ascii="仿宋_GB2312" w:eastAsia="仿宋_GB2312"/>
          <w:sz w:val="32"/>
          <w:szCs w:val="32"/>
        </w:rPr>
        <w:t>共</w:t>
      </w:r>
      <w:r>
        <w:rPr>
          <w:rFonts w:hint="eastAsia" w:ascii="仿宋_GB2312" w:eastAsia="仿宋_GB2312"/>
          <w:sz w:val="32"/>
          <w:szCs w:val="32"/>
          <w:lang w:val="en-US" w:eastAsia="zh-CN"/>
        </w:rPr>
        <w:t>5</w:t>
      </w:r>
      <w:r>
        <w:rPr>
          <w:rFonts w:hint="eastAsia" w:ascii="仿宋_GB2312" w:eastAsia="仿宋_GB2312"/>
          <w:sz w:val="32"/>
          <w:szCs w:val="32"/>
        </w:rPr>
        <w:t>个项目的绩效自评结果。主要项目自评如下：</w:t>
      </w:r>
    </w:p>
    <w:p>
      <w:pPr>
        <w:pStyle w:val="21"/>
        <w:autoSpaceDN w:val="0"/>
        <w:spacing w:line="580" w:lineRule="atLeast"/>
        <w:ind w:firstLine="600"/>
        <w:jc w:val="both"/>
      </w:pPr>
      <w:r>
        <w:rPr>
          <w:rFonts w:hint="eastAsia" w:ascii="仿宋_GB2312" w:eastAsia="仿宋_GB2312"/>
          <w:sz w:val="32"/>
          <w:szCs w:val="32"/>
        </w:rPr>
        <w:t>1.河湖水域岸线保护规划项目自评综述：根据年初设定的绩效目标，项目自评得分100分。全年预算数为893.11万元，执行数为893.11万元，完成预算的100%。项目绩效目标完成情况：完成呼伦贝尔市16条河道、1座湖泊的岸线管理保护规划报告书编制，制作呼伦贝尔市河道三维信息管理数据库等配套服务。发现的主要问题及原因：我市河流湖泊众多，河道长，涉及范围广，工作量大，外业测量和收集资料比较困难，另外受疫情和汛情影响，给工作增加了一定的难度。下一步改进措施：后续经采取赶工措施，全面完成了工作任务。</w:t>
      </w:r>
    </w:p>
    <w:p>
      <w:pPr>
        <w:pStyle w:val="21"/>
        <w:autoSpaceDN w:val="0"/>
        <w:spacing w:line="580" w:lineRule="atLeast"/>
        <w:ind w:firstLine="600"/>
        <w:jc w:val="both"/>
      </w:pPr>
      <w:r>
        <w:rPr>
          <w:rFonts w:hint="eastAsia" w:ascii="仿宋_GB2312" w:eastAsia="仿宋_GB2312"/>
          <w:sz w:val="32"/>
          <w:szCs w:val="32"/>
        </w:rPr>
        <w:t>2.防汛抗旱项目自评综述：根据年初设定的绩效目标，项目自评得分100分。全年预算数为10万元，执行数为10万元，完成预算的100%。项目绩效目标完成情况：及时对呼伦贝尔市汛期检查指挥调度、指导水旱灾害防御工作。发现的主要问题及原因：呼伦贝尔市地域较大，偏远地区较多，旱情和汛情分配不均，指导调度较困难。下一步改进措施：尽量使用检测预警平台，关注各地区的水旱情况，迅速及时指导上报。</w:t>
      </w:r>
    </w:p>
    <w:p>
      <w:pPr>
        <w:pStyle w:val="21"/>
        <w:autoSpaceDN w:val="0"/>
        <w:spacing w:line="580" w:lineRule="atLeast"/>
        <w:ind w:firstLine="600"/>
        <w:jc w:val="both"/>
      </w:pPr>
      <w:r>
        <w:rPr>
          <w:rFonts w:hint="eastAsia" w:ascii="仿宋_GB2312" w:eastAsia="仿宋_GB2312"/>
          <w:sz w:val="32"/>
          <w:szCs w:val="32"/>
        </w:rPr>
        <w:t>3.</w:t>
      </w:r>
      <w:r>
        <w:rPr>
          <w:rFonts w:hint="eastAsia" w:ascii="仿宋_GB2312" w:eastAsia="仿宋_GB2312"/>
        </w:rPr>
        <w:t xml:space="preserve"> </w:t>
      </w:r>
      <w:r>
        <w:rPr>
          <w:rFonts w:hint="eastAsia" w:ascii="仿宋_GB2312" w:eastAsia="仿宋_GB2312"/>
          <w:sz w:val="32"/>
          <w:szCs w:val="32"/>
        </w:rPr>
        <w:t>市级河湖水生态综合治理规划项目自评综述：根据年初设定的绩效目标，项目自评得分100分。全年预算数为197.9万元，执行数为197.9万元，完成预算的100%。项目绩效目标完成情况：完成《呼伦贝尔市伊敏河和红花尔基水库水生态综合治理</w:t>
      </w:r>
      <w:r>
        <w:rPr>
          <w:rFonts w:hint="eastAsia" w:eastAsia="仿宋_GB2312"/>
          <w:sz w:val="32"/>
          <w:szCs w:val="32"/>
        </w:rPr>
        <w:t>“</w:t>
      </w:r>
      <w:r>
        <w:rPr>
          <w:rFonts w:hint="eastAsia" w:ascii="仿宋_GB2312" w:eastAsia="仿宋_GB2312"/>
          <w:sz w:val="32"/>
          <w:szCs w:val="32"/>
        </w:rPr>
        <w:t>十四五</w:t>
      </w:r>
      <w:r>
        <w:rPr>
          <w:rFonts w:hint="eastAsia" w:eastAsia="仿宋_GB2312"/>
          <w:sz w:val="32"/>
          <w:szCs w:val="32"/>
        </w:rPr>
        <w:t>”</w:t>
      </w:r>
      <w:r>
        <w:rPr>
          <w:rFonts w:hint="eastAsia" w:ascii="仿宋_GB2312" w:eastAsia="仿宋_GB2312"/>
          <w:sz w:val="32"/>
          <w:szCs w:val="32"/>
        </w:rPr>
        <w:t>规划》及《呼伦贝尔市莫尔格勒河和呼和诺尔水生态综合治理</w:t>
      </w:r>
      <w:r>
        <w:rPr>
          <w:rFonts w:hint="eastAsia" w:eastAsia="仿宋_GB2312"/>
          <w:sz w:val="32"/>
          <w:szCs w:val="32"/>
        </w:rPr>
        <w:t>“</w:t>
      </w:r>
      <w:r>
        <w:rPr>
          <w:rFonts w:hint="eastAsia" w:ascii="仿宋_GB2312" w:eastAsia="仿宋_GB2312"/>
          <w:sz w:val="32"/>
          <w:szCs w:val="32"/>
        </w:rPr>
        <w:t>十四五</w:t>
      </w:r>
      <w:r>
        <w:rPr>
          <w:rFonts w:hint="eastAsia" w:eastAsia="仿宋_GB2312"/>
          <w:sz w:val="32"/>
          <w:szCs w:val="32"/>
        </w:rPr>
        <w:t>”</w:t>
      </w:r>
      <w:r>
        <w:rPr>
          <w:rFonts w:hint="eastAsia" w:ascii="仿宋_GB2312" w:eastAsia="仿宋_GB2312"/>
          <w:sz w:val="32"/>
          <w:szCs w:val="32"/>
        </w:rPr>
        <w:t>规划》，完成呼伦贝尔市16条河流、1座湖泊的新一轮</w:t>
      </w:r>
      <w:r>
        <w:rPr>
          <w:rFonts w:hint="eastAsia" w:eastAsia="仿宋_GB2312"/>
          <w:sz w:val="32"/>
          <w:szCs w:val="32"/>
        </w:rPr>
        <w:t>“</w:t>
      </w:r>
      <w:r>
        <w:rPr>
          <w:rFonts w:hint="eastAsia" w:ascii="仿宋_GB2312" w:eastAsia="仿宋_GB2312"/>
          <w:sz w:val="32"/>
          <w:szCs w:val="32"/>
        </w:rPr>
        <w:t>一河（湖）一策</w:t>
      </w:r>
      <w:r>
        <w:rPr>
          <w:rFonts w:hint="eastAsia" w:eastAsia="仿宋_GB2312"/>
          <w:sz w:val="32"/>
          <w:szCs w:val="32"/>
        </w:rPr>
        <w:t>”</w:t>
      </w:r>
      <w:r>
        <w:rPr>
          <w:rFonts w:hint="eastAsia" w:ascii="仿宋_GB2312" w:eastAsia="仿宋_GB2312"/>
          <w:sz w:val="32"/>
          <w:szCs w:val="32"/>
        </w:rPr>
        <w:t>实施方案修编。发现的主要问题及原因：水生态综合治理规划涉及部门多，规划项目协调衔接难度大。下一步改进措施：根据规划情况，加大与各涉及部门的协调力度，推进项目落实落地。</w:t>
      </w:r>
    </w:p>
    <w:p>
      <w:pPr>
        <w:pStyle w:val="21"/>
        <w:autoSpaceDN w:val="0"/>
        <w:spacing w:line="580" w:lineRule="atLeast"/>
        <w:ind w:firstLine="600"/>
        <w:jc w:val="both"/>
      </w:pPr>
      <w:r>
        <w:rPr>
          <w:rFonts w:hint="eastAsia" w:ascii="仿宋_GB2312" w:eastAsia="仿宋_GB2312"/>
          <w:sz w:val="32"/>
          <w:szCs w:val="32"/>
        </w:rPr>
        <w:t>4.</w:t>
      </w:r>
      <w:r>
        <w:rPr>
          <w:rFonts w:hint="eastAsia" w:ascii="仿宋_GB2312" w:eastAsia="仿宋_GB2312"/>
        </w:rPr>
        <w:t xml:space="preserve"> </w:t>
      </w:r>
      <w:r>
        <w:rPr>
          <w:rFonts w:hint="eastAsia" w:ascii="仿宋_GB2312" w:eastAsia="仿宋_GB2312"/>
          <w:sz w:val="32"/>
          <w:szCs w:val="32"/>
        </w:rPr>
        <w:t>嫩江甘河大型灌区项目自评综述：根据年初设定的绩效目标，项目自评得分100分。全年预算数为29.9万元，执行数为29.9万元，完成预算的100%。项目绩效目标完成情况：按期编制完成嫩江甘河大型灌溉区项目实施方案并通过审查及发改备案。发现的主要问题及原因：方案编制过程中由于资料收集较困难，导致方案和实际存在偏差。下一步改进措施：收集补充相关资料，对存在偏差的数据进行修正和改进。</w:t>
      </w:r>
    </w:p>
    <w:p>
      <w:pPr>
        <w:pStyle w:val="21"/>
        <w:autoSpaceDN w:val="0"/>
        <w:spacing w:line="580" w:lineRule="atLeast"/>
        <w:ind w:firstLine="600"/>
        <w:jc w:val="both"/>
      </w:pPr>
      <w:r>
        <w:rPr>
          <w:rFonts w:hint="eastAsia" w:ascii="仿宋_GB2312" w:eastAsia="仿宋_GB2312"/>
          <w:sz w:val="32"/>
          <w:szCs w:val="32"/>
        </w:rPr>
        <w:t>5.</w:t>
      </w:r>
      <w:r>
        <w:rPr>
          <w:rFonts w:hint="eastAsia" w:ascii="仿宋_GB2312" w:eastAsia="仿宋_GB2312"/>
        </w:rPr>
        <w:t xml:space="preserve"> </w:t>
      </w:r>
      <w:r>
        <w:rPr>
          <w:rFonts w:hint="eastAsia" w:ascii="仿宋_GB2312" w:eastAsia="仿宋_GB2312"/>
          <w:sz w:val="32"/>
          <w:szCs w:val="32"/>
        </w:rPr>
        <w:t>取水口核查登记项目自评综述：根据年初设定的绩效目标，项目自评得分98分。全年预算数为39万元，执行数为39万元，完成预算的100%。项目绩效目标完成情况：全部完成取水口调查工作，并上报自治区，自治区尚未完成审核工作。发现的主要问题及原因：我市的取水口数量较多，资金较少，完成任务较困难。下一步改进措施：待自治区审核后及时更新取水口现状。</w:t>
      </w:r>
    </w:p>
    <w:p>
      <w:pPr>
        <w:pStyle w:val="21"/>
        <w:autoSpaceDN w:val="0"/>
        <w:spacing w:line="580" w:lineRule="atLeast"/>
        <w:ind w:firstLine="600"/>
        <w:jc w:val="both"/>
      </w:pPr>
      <w:r>
        <w:t xml:space="preserve"> </w:t>
      </w:r>
    </w:p>
    <w:p>
      <w:pPr>
        <w:pStyle w:val="21"/>
        <w:autoSpaceDN w:val="0"/>
        <w:spacing w:line="580" w:lineRule="atLeast"/>
        <w:ind w:firstLine="600"/>
        <w:jc w:val="both"/>
      </w:pPr>
      <w:r>
        <w:t xml:space="preserve"> </w:t>
      </w:r>
    </w:p>
    <w:p>
      <w:pPr>
        <w:pStyle w:val="21"/>
        <w:autoSpaceDN w:val="0"/>
        <w:spacing w:line="580" w:lineRule="atLeast"/>
        <w:ind w:firstLine="600"/>
        <w:jc w:val="both"/>
      </w:pPr>
      <w:r>
        <w:t xml:space="preserve"> </w:t>
      </w:r>
    </w:p>
    <w:p>
      <w:pPr>
        <w:pStyle w:val="21"/>
        <w:autoSpaceDN w:val="0"/>
        <w:spacing w:line="580" w:lineRule="atLeast"/>
        <w:ind w:firstLine="600"/>
        <w:jc w:val="both"/>
      </w:pPr>
      <w:r>
        <w:t xml:space="preserve"> </w:t>
      </w:r>
    </w:p>
    <w:tbl>
      <w:tblPr>
        <w:tblStyle w:val="12"/>
        <w:tblW w:w="0" w:type="auto"/>
        <w:tblInd w:w="0" w:type="dxa"/>
        <w:tblLayout w:type="autofit"/>
        <w:tblCellMar>
          <w:top w:w="0" w:type="dxa"/>
          <w:left w:w="108" w:type="dxa"/>
          <w:bottom w:w="0" w:type="dxa"/>
          <w:right w:w="108" w:type="dxa"/>
        </w:tblCellMar>
      </w:tblPr>
      <w:tblGrid>
        <w:gridCol w:w="593"/>
        <w:gridCol w:w="761"/>
        <w:gridCol w:w="522"/>
        <w:gridCol w:w="821"/>
        <w:gridCol w:w="327"/>
        <w:gridCol w:w="859"/>
        <w:gridCol w:w="972"/>
        <w:gridCol w:w="68"/>
        <w:gridCol w:w="882"/>
        <w:gridCol w:w="600"/>
        <w:gridCol w:w="748"/>
        <w:gridCol w:w="222"/>
        <w:gridCol w:w="703"/>
        <w:gridCol w:w="222"/>
        <w:gridCol w:w="222"/>
      </w:tblGrid>
      <w:tr>
        <w:tblPrEx>
          <w:tblCellMar>
            <w:top w:w="0" w:type="dxa"/>
            <w:left w:w="108" w:type="dxa"/>
            <w:bottom w:w="0" w:type="dxa"/>
            <w:right w:w="108" w:type="dxa"/>
          </w:tblCellMar>
        </w:tblPrEx>
        <w:tc>
          <w:tcPr>
            <w:tcW w:w="8305" w:type="dxa"/>
            <w:gridSpan w:val="15"/>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项目支出绩效自评表</w:t>
            </w:r>
          </w:p>
        </w:tc>
      </w:tr>
      <w:tr>
        <w:tblPrEx>
          <w:tblCellMar>
            <w:top w:w="0" w:type="dxa"/>
            <w:left w:w="108" w:type="dxa"/>
            <w:bottom w:w="0" w:type="dxa"/>
            <w:right w:w="108" w:type="dxa"/>
          </w:tblCellMar>
        </w:tblPrEx>
        <w:tc>
          <w:tcPr>
            <w:tcW w:w="8305" w:type="dxa"/>
            <w:gridSpan w:val="15"/>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 xml:space="preserve">（ 2020 </w:t>
            </w:r>
            <w:r>
              <w:rPr>
                <w:rFonts w:hint="eastAsia" w:ascii="宋体" w:hAnsi="宋体"/>
                <w:b/>
                <w:bCs/>
                <w:sz w:val="21"/>
                <w:szCs w:val="21"/>
              </w:rPr>
              <w:t>年度）</w:t>
            </w:r>
          </w:p>
        </w:tc>
      </w:tr>
      <w:tr>
        <w:tblPrEx>
          <w:tblCellMar>
            <w:top w:w="0" w:type="dxa"/>
            <w:left w:w="108" w:type="dxa"/>
            <w:bottom w:w="0" w:type="dxa"/>
            <w:right w:w="108" w:type="dxa"/>
          </w:tblCellMar>
        </w:tblPrEx>
        <w:tc>
          <w:tcPr>
            <w:tcW w:w="1460" w:type="dxa"/>
            <w:gridSpan w:val="2"/>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项目名称</w:t>
            </w:r>
          </w:p>
        </w:tc>
        <w:tc>
          <w:tcPr>
            <w:tcW w:w="2872" w:type="dxa"/>
            <w:gridSpan w:val="4"/>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市级河湖岸线保护与利用规划</w:t>
            </w:r>
            <w:r>
              <w:rPr>
                <w:sz w:val="21"/>
                <w:szCs w:val="21"/>
              </w:rPr>
              <w:t> </w:t>
            </w:r>
          </w:p>
        </w:tc>
        <w:tc>
          <w:tcPr>
            <w:tcW w:w="103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项目负责人及电话</w:t>
            </w:r>
          </w:p>
        </w:tc>
        <w:tc>
          <w:tcPr>
            <w:tcW w:w="2935" w:type="dxa"/>
            <w:gridSpan w:val="6"/>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 xml:space="preserve">梁心蕊 </w:t>
            </w:r>
            <w:r>
              <w:rPr>
                <w:sz w:val="21"/>
                <w:szCs w:val="21"/>
              </w:rPr>
              <w:t xml:space="preserve">8212258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1460" w:type="dxa"/>
            <w:gridSpan w:val="2"/>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主管部门</w:t>
            </w:r>
          </w:p>
        </w:tc>
        <w:tc>
          <w:tcPr>
            <w:tcW w:w="2872" w:type="dxa"/>
            <w:gridSpan w:val="4"/>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呼伦贝尔市水利局</w:t>
            </w:r>
            <w:r>
              <w:rPr>
                <w:sz w:val="21"/>
                <w:szCs w:val="21"/>
              </w:rPr>
              <w:t> </w:t>
            </w:r>
          </w:p>
        </w:tc>
        <w:tc>
          <w:tcPr>
            <w:tcW w:w="103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实施单位</w:t>
            </w:r>
          </w:p>
        </w:tc>
        <w:tc>
          <w:tcPr>
            <w:tcW w:w="2935" w:type="dxa"/>
            <w:gridSpan w:val="6"/>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 xml:space="preserve">呼伦贝尔市水利局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1460" w:type="dxa"/>
            <w:gridSpan w:val="2"/>
            <w:vMerge w:val="restart"/>
            <w:tcBorders>
              <w:top w:val="single" w:color="000000" w:sz="2" w:space="0"/>
              <w:left w:val="inset" w:color="000000" w:sz="6" w:space="0"/>
              <w:bottom w:val="nil"/>
              <w:right w:val="inset" w:color="000000" w:sz="6" w:space="0"/>
            </w:tcBorders>
            <w:vAlign w:val="center"/>
          </w:tcPr>
          <w:p>
            <w:pPr>
              <w:pStyle w:val="21"/>
              <w:autoSpaceDN w:val="0"/>
              <w:jc w:val="both"/>
              <w:rPr>
                <w:sz w:val="21"/>
                <w:szCs w:val="21"/>
              </w:rPr>
            </w:pPr>
            <w:r>
              <w:rPr>
                <w:b/>
                <w:bCs/>
                <w:sz w:val="21"/>
                <w:szCs w:val="21"/>
              </w:rPr>
              <w:t>项目预算执行情况</w:t>
            </w:r>
            <w:r>
              <w:rPr>
                <w:sz w:val="21"/>
                <w:szCs w:val="21"/>
              </w:rPr>
              <w:t> </w:t>
            </w:r>
            <w:r>
              <w:rPr>
                <w:b/>
                <w:bCs/>
                <w:sz w:val="21"/>
                <w:szCs w:val="21"/>
              </w:rPr>
              <w:t>（万元）</w:t>
            </w:r>
          </w:p>
        </w:tc>
        <w:tc>
          <w:tcPr>
            <w:tcW w:w="1544"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32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全年预算数（A</w:t>
            </w:r>
            <w:r>
              <w:rPr>
                <w:rFonts w:hint="eastAsia" w:ascii="宋体" w:hAnsi="宋体"/>
                <w:b/>
                <w:bCs/>
                <w:sz w:val="21"/>
                <w:szCs w:val="21"/>
              </w:rPr>
              <w:t>）</w:t>
            </w:r>
          </w:p>
        </w:tc>
        <w:tc>
          <w:tcPr>
            <w:tcW w:w="103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全年执行数（B</w:t>
            </w:r>
            <w:r>
              <w:rPr>
                <w:rFonts w:hint="eastAsia" w:ascii="宋体" w:hAnsi="宋体"/>
                <w:b/>
                <w:bCs/>
                <w:sz w:val="21"/>
                <w:szCs w:val="21"/>
              </w:rPr>
              <w:t>）</w:t>
            </w:r>
          </w:p>
        </w:tc>
        <w:tc>
          <w:tcPr>
            <w:tcW w:w="1096"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分值</w:t>
            </w:r>
          </w:p>
        </w:tc>
        <w:tc>
          <w:tcPr>
            <w:tcW w:w="933" w:type="dxa"/>
            <w:gridSpan w:val="3"/>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执行率（B/A)</w:t>
            </w:r>
          </w:p>
        </w:tc>
        <w:tc>
          <w:tcPr>
            <w:tcW w:w="90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得分</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433" w:hRule="atLeast"/>
        </w:trPr>
        <w:tc>
          <w:tcPr>
            <w:tcW w:w="0" w:type="auto"/>
            <w:gridSpan w:val="2"/>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1544"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年度资金总额：</w:t>
            </w:r>
          </w:p>
        </w:tc>
        <w:tc>
          <w:tcPr>
            <w:tcW w:w="132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893.11</w:t>
            </w:r>
          </w:p>
        </w:tc>
        <w:tc>
          <w:tcPr>
            <w:tcW w:w="103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893.11</w:t>
            </w:r>
          </w:p>
        </w:tc>
        <w:tc>
          <w:tcPr>
            <w:tcW w:w="1096"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10</w:t>
            </w:r>
          </w:p>
        </w:tc>
        <w:tc>
          <w:tcPr>
            <w:tcW w:w="933" w:type="dxa"/>
            <w:gridSpan w:val="3"/>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90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514" w:hRule="atLeast"/>
        </w:trPr>
        <w:tc>
          <w:tcPr>
            <w:tcW w:w="0" w:type="auto"/>
            <w:gridSpan w:val="2"/>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1544"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其中：财政拨款</w:t>
            </w:r>
          </w:p>
        </w:tc>
        <w:tc>
          <w:tcPr>
            <w:tcW w:w="132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pPr>
            <w:r>
              <w:rPr>
                <w:rFonts w:hint="eastAsia" w:ascii="宋体" w:hAnsi="宋体"/>
                <w:sz w:val="21"/>
                <w:szCs w:val="21"/>
              </w:rPr>
              <w:t> </w:t>
            </w:r>
          </w:p>
          <w:p>
            <w:pPr>
              <w:pStyle w:val="21"/>
              <w:autoSpaceDN w:val="0"/>
              <w:jc w:val="both"/>
            </w:pPr>
            <w:r>
              <w:rPr>
                <w:rFonts w:hint="eastAsia" w:ascii="宋体" w:hAnsi="宋体"/>
                <w:sz w:val="21"/>
                <w:szCs w:val="21"/>
              </w:rPr>
              <w:t xml:space="preserve"> 893.11</w:t>
            </w:r>
          </w:p>
          <w:p>
            <w:pPr>
              <w:pStyle w:val="21"/>
              <w:autoSpaceDN w:val="0"/>
              <w:jc w:val="both"/>
              <w:rPr>
                <w:sz w:val="21"/>
                <w:szCs w:val="21"/>
              </w:rPr>
            </w:pPr>
            <w:r>
              <w:rPr>
                <w:rFonts w:hint="eastAsia" w:ascii="宋体" w:hAnsi="宋体"/>
                <w:sz w:val="21"/>
                <w:szCs w:val="21"/>
              </w:rPr>
              <w:t> </w:t>
            </w:r>
          </w:p>
        </w:tc>
        <w:tc>
          <w:tcPr>
            <w:tcW w:w="103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893.11</w:t>
            </w:r>
          </w:p>
        </w:tc>
        <w:tc>
          <w:tcPr>
            <w:tcW w:w="1096"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w:t>
            </w:r>
          </w:p>
        </w:tc>
        <w:tc>
          <w:tcPr>
            <w:tcW w:w="933" w:type="dxa"/>
            <w:gridSpan w:val="3"/>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90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gridSpan w:val="2"/>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1544"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其他资金</w:t>
            </w:r>
          </w:p>
        </w:tc>
        <w:tc>
          <w:tcPr>
            <w:tcW w:w="132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03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096"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w:t>
            </w:r>
          </w:p>
        </w:tc>
        <w:tc>
          <w:tcPr>
            <w:tcW w:w="933" w:type="dxa"/>
            <w:gridSpan w:val="3"/>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90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745" w:type="dxa"/>
            <w:vMerge w:val="restart"/>
            <w:tcBorders>
              <w:top w:val="single" w:color="000000" w:sz="2" w:space="0"/>
              <w:left w:val="inset" w:color="000000" w:sz="6" w:space="0"/>
              <w:bottom w:val="nil"/>
              <w:right w:val="inset" w:color="000000" w:sz="6" w:space="0"/>
            </w:tcBorders>
            <w:vAlign w:val="center"/>
          </w:tcPr>
          <w:p>
            <w:pPr>
              <w:pStyle w:val="21"/>
              <w:autoSpaceDN w:val="0"/>
              <w:jc w:val="both"/>
              <w:rPr>
                <w:sz w:val="21"/>
                <w:szCs w:val="21"/>
              </w:rPr>
            </w:pPr>
            <w:r>
              <w:rPr>
                <w:b/>
                <w:bCs/>
                <w:sz w:val="21"/>
                <w:szCs w:val="21"/>
              </w:rPr>
              <w:t>年度总体目标完成情况</w:t>
            </w:r>
          </w:p>
        </w:tc>
        <w:tc>
          <w:tcPr>
            <w:tcW w:w="3587" w:type="dxa"/>
            <w:gridSpan w:val="5"/>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预期目标</w:t>
            </w:r>
          </w:p>
        </w:tc>
        <w:tc>
          <w:tcPr>
            <w:tcW w:w="3973" w:type="dxa"/>
            <w:gridSpan w:val="8"/>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目标实际完成情况</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983" w:hRule="atLeast"/>
        </w:trPr>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3587" w:type="dxa"/>
            <w:gridSpan w:val="5"/>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对呼伦贝尔市</w:t>
            </w:r>
            <w:r>
              <w:rPr>
                <w:sz w:val="21"/>
                <w:szCs w:val="21"/>
              </w:rPr>
              <w:t>16</w:t>
            </w:r>
            <w:r>
              <w:rPr>
                <w:rFonts w:hint="eastAsia" w:ascii="宋体" w:hAnsi="宋体"/>
                <w:sz w:val="21"/>
                <w:szCs w:val="21"/>
              </w:rPr>
              <w:t>条河道、</w:t>
            </w:r>
            <w:r>
              <w:rPr>
                <w:sz w:val="21"/>
                <w:szCs w:val="21"/>
              </w:rPr>
              <w:t>1</w:t>
            </w:r>
            <w:r>
              <w:rPr>
                <w:rFonts w:hint="eastAsia" w:ascii="宋体" w:hAnsi="宋体"/>
                <w:sz w:val="21"/>
                <w:szCs w:val="21"/>
              </w:rPr>
              <w:t>座湖泊的岸线保护与利用规划报告书编制，制作呼伦贝尔市级河道三维信息管理数据库等配套服务。</w:t>
            </w:r>
          </w:p>
        </w:tc>
        <w:tc>
          <w:tcPr>
            <w:tcW w:w="3973" w:type="dxa"/>
            <w:gridSpan w:val="8"/>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完成</w:t>
            </w:r>
            <w:r>
              <w:rPr>
                <w:sz w:val="21"/>
                <w:szCs w:val="21"/>
              </w:rPr>
              <w:t> </w:t>
            </w:r>
            <w:r>
              <w:rPr>
                <w:rFonts w:hint="eastAsia" w:ascii="宋体" w:hAnsi="宋体"/>
                <w:sz w:val="21"/>
                <w:szCs w:val="21"/>
              </w:rPr>
              <w:t>呼伦贝尔市</w:t>
            </w:r>
            <w:r>
              <w:rPr>
                <w:sz w:val="21"/>
                <w:szCs w:val="21"/>
              </w:rPr>
              <w:t>16</w:t>
            </w:r>
            <w:r>
              <w:rPr>
                <w:rFonts w:hint="eastAsia" w:ascii="宋体" w:hAnsi="宋体"/>
                <w:sz w:val="21"/>
                <w:szCs w:val="21"/>
              </w:rPr>
              <w:t>条河道、</w:t>
            </w:r>
            <w:r>
              <w:rPr>
                <w:sz w:val="21"/>
                <w:szCs w:val="21"/>
              </w:rPr>
              <w:t>1</w:t>
            </w:r>
            <w:r>
              <w:rPr>
                <w:rFonts w:hint="eastAsia" w:ascii="宋体" w:hAnsi="宋体"/>
                <w:sz w:val="21"/>
                <w:szCs w:val="21"/>
              </w:rPr>
              <w:t>座湖泊的岸线保护与利用规划报告书编制，制作呼伦贝尔市级河道三维信息管理数据库等配套服务。</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745" w:type="dxa"/>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绩效指标</w:t>
            </w:r>
          </w:p>
        </w:tc>
        <w:tc>
          <w:tcPr>
            <w:tcW w:w="715"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一级指标</w:t>
            </w:r>
          </w:p>
        </w:tc>
        <w:tc>
          <w:tcPr>
            <w:tcW w:w="52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二级指标</w:t>
            </w:r>
          </w:p>
        </w:tc>
        <w:tc>
          <w:tcPr>
            <w:tcW w:w="1421"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三级指标</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分值</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预期指标值</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实际完成指标值</w:t>
            </w:r>
          </w:p>
        </w:tc>
        <w:tc>
          <w:tcPr>
            <w:tcW w:w="71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得分</w:t>
            </w:r>
          </w:p>
        </w:tc>
        <w:tc>
          <w:tcPr>
            <w:tcW w:w="104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未完成原因及拟采取的改进措施</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621" w:hRule="atLeast"/>
        </w:trPr>
        <w:tc>
          <w:tcPr>
            <w:tcW w:w="745" w:type="dxa"/>
            <w:vMerge w:val="restart"/>
            <w:tcBorders>
              <w:top w:val="single" w:color="000000" w:sz="2" w:space="0"/>
              <w:left w:val="inset" w:color="000000" w:sz="6" w:space="0"/>
              <w:bottom w:val="nil"/>
              <w:right w:val="inset" w:color="000000" w:sz="6" w:space="0"/>
            </w:tcBorders>
            <w:vAlign w:val="center"/>
          </w:tcPr>
          <w:p>
            <w:pPr>
              <w:pStyle w:val="21"/>
              <w:autoSpaceDN w:val="0"/>
              <w:jc w:val="both"/>
              <w:rPr>
                <w:sz w:val="21"/>
                <w:szCs w:val="21"/>
              </w:rPr>
            </w:pPr>
            <w:r>
              <w:rPr>
                <w:sz w:val="21"/>
                <w:szCs w:val="21"/>
              </w:rPr>
              <w:t> </w:t>
            </w:r>
          </w:p>
        </w:tc>
        <w:tc>
          <w:tcPr>
            <w:tcW w:w="715" w:type="dxa"/>
            <w:vMerge w:val="restart"/>
            <w:tcBorders>
              <w:top w:val="single" w:color="000000" w:sz="2" w:space="0"/>
              <w:left w:val="single" w:color="000000" w:sz="2" w:space="0"/>
              <w:bottom w:val="nil"/>
              <w:right w:val="inset" w:color="000000" w:sz="6" w:space="0"/>
            </w:tcBorders>
            <w:vAlign w:val="center"/>
          </w:tcPr>
          <w:p>
            <w:pPr>
              <w:pStyle w:val="21"/>
              <w:autoSpaceDN w:val="0"/>
              <w:jc w:val="both"/>
              <w:rPr>
                <w:sz w:val="21"/>
                <w:szCs w:val="21"/>
              </w:rPr>
            </w:pPr>
            <w:r>
              <w:rPr>
                <w:b/>
                <w:bCs/>
                <w:sz w:val="21"/>
                <w:szCs w:val="21"/>
              </w:rPr>
              <w:t>产出指标</w:t>
            </w:r>
            <w:r>
              <w:rPr>
                <w:sz w:val="21"/>
                <w:szCs w:val="21"/>
              </w:rPr>
              <w:t> </w:t>
            </w:r>
            <w:r>
              <w:rPr>
                <w:b/>
                <w:bCs/>
                <w:sz w:val="21"/>
                <w:szCs w:val="21"/>
              </w:rPr>
              <w:t>(50</w:t>
            </w:r>
            <w:r>
              <w:rPr>
                <w:rFonts w:hint="eastAsia" w:ascii="宋体" w:hAnsi="宋体"/>
                <w:b/>
                <w:bCs/>
                <w:sz w:val="21"/>
                <w:szCs w:val="21"/>
              </w:rPr>
              <w:t>分</w:t>
            </w:r>
            <w:r>
              <w:rPr>
                <w:b/>
                <w:bCs/>
                <w:sz w:val="21"/>
                <w:szCs w:val="21"/>
              </w:rPr>
              <w:t>)</w:t>
            </w:r>
          </w:p>
        </w:tc>
        <w:tc>
          <w:tcPr>
            <w:tcW w:w="522" w:type="dxa"/>
            <w:vMerge w:val="restart"/>
            <w:tcBorders>
              <w:top w:val="single" w:color="000000" w:sz="2" w:space="0"/>
              <w:left w:val="single" w:color="000000" w:sz="2" w:space="0"/>
              <w:bottom w:val="nil"/>
              <w:right w:val="inset" w:color="000000" w:sz="6" w:space="0"/>
            </w:tcBorders>
            <w:vAlign w:val="center"/>
          </w:tcPr>
          <w:p>
            <w:pPr>
              <w:pStyle w:val="21"/>
              <w:autoSpaceDN w:val="0"/>
              <w:jc w:val="both"/>
              <w:rPr>
                <w:sz w:val="21"/>
                <w:szCs w:val="21"/>
              </w:rPr>
            </w:pPr>
            <w:r>
              <w:rPr>
                <w:b/>
                <w:bCs/>
                <w:sz w:val="21"/>
                <w:szCs w:val="21"/>
              </w:rPr>
              <w:t>数量指标</w:t>
            </w:r>
          </w:p>
        </w:tc>
        <w:tc>
          <w:tcPr>
            <w:tcW w:w="1421"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管理保护市级河流（条）</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16</w:t>
            </w:r>
            <w:r>
              <w:rPr>
                <w:sz w:val="21"/>
                <w:szCs w:val="21"/>
              </w:rPr>
              <w:t> </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16</w:t>
            </w:r>
            <w:r>
              <w:rPr>
                <w:sz w:val="21"/>
                <w:szCs w:val="21"/>
              </w:rPr>
              <w:t> </w:t>
            </w:r>
          </w:p>
        </w:tc>
        <w:tc>
          <w:tcPr>
            <w:tcW w:w="71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104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1421"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管理保护市级湖泊（座）</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w:t>
            </w:r>
            <w:r>
              <w:rPr>
                <w:sz w:val="21"/>
                <w:szCs w:val="21"/>
              </w:rPr>
              <w:t> </w:t>
            </w:r>
          </w:p>
        </w:tc>
        <w:tc>
          <w:tcPr>
            <w:tcW w:w="71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104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619" w:hRule="atLeast"/>
        </w:trPr>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522" w:type="dxa"/>
            <w:vMerge w:val="restart"/>
            <w:tcBorders>
              <w:top w:val="single" w:color="000000" w:sz="2" w:space="0"/>
              <w:left w:val="single" w:color="000000" w:sz="2" w:space="0"/>
              <w:bottom w:val="nil"/>
              <w:right w:val="inset" w:color="000000" w:sz="6" w:space="0"/>
            </w:tcBorders>
            <w:vAlign w:val="center"/>
          </w:tcPr>
          <w:p>
            <w:pPr>
              <w:pStyle w:val="21"/>
              <w:autoSpaceDN w:val="0"/>
              <w:jc w:val="both"/>
              <w:rPr>
                <w:sz w:val="21"/>
                <w:szCs w:val="21"/>
              </w:rPr>
            </w:pPr>
            <w:r>
              <w:rPr>
                <w:b/>
                <w:bCs/>
                <w:sz w:val="21"/>
                <w:szCs w:val="21"/>
              </w:rPr>
              <w:t>质量指标</w:t>
            </w:r>
          </w:p>
        </w:tc>
        <w:tc>
          <w:tcPr>
            <w:tcW w:w="1421"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规划报告书通过率</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100%</w:t>
            </w:r>
            <w:r>
              <w:rPr>
                <w:sz w:val="21"/>
                <w:szCs w:val="21"/>
              </w:rPr>
              <w:t> </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100%</w:t>
            </w:r>
          </w:p>
        </w:tc>
        <w:tc>
          <w:tcPr>
            <w:tcW w:w="71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104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1421"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信息管理数据库合格率</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100%</w:t>
            </w:r>
          </w:p>
        </w:tc>
        <w:tc>
          <w:tcPr>
            <w:tcW w:w="71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104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521" w:hRule="atLeast"/>
        </w:trPr>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522" w:type="dxa"/>
            <w:vMerge w:val="restart"/>
            <w:tcBorders>
              <w:top w:val="single" w:color="000000" w:sz="2" w:space="0"/>
              <w:left w:val="single" w:color="000000" w:sz="2" w:space="0"/>
              <w:bottom w:val="nil"/>
              <w:right w:val="inset" w:color="000000" w:sz="6" w:space="0"/>
            </w:tcBorders>
            <w:vAlign w:val="center"/>
          </w:tcPr>
          <w:p>
            <w:pPr>
              <w:pStyle w:val="21"/>
              <w:autoSpaceDN w:val="0"/>
              <w:jc w:val="both"/>
              <w:rPr>
                <w:sz w:val="21"/>
                <w:szCs w:val="21"/>
              </w:rPr>
            </w:pPr>
            <w:r>
              <w:rPr>
                <w:b/>
                <w:bCs/>
                <w:sz w:val="21"/>
                <w:szCs w:val="21"/>
              </w:rPr>
              <w:t>时效指标</w:t>
            </w:r>
          </w:p>
        </w:tc>
        <w:tc>
          <w:tcPr>
            <w:tcW w:w="1421"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按时提供报告书率</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5</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100%</w:t>
            </w:r>
            <w:r>
              <w:rPr>
                <w:sz w:val="21"/>
                <w:szCs w:val="21"/>
              </w:rPr>
              <w:t> </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71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5</w:t>
            </w:r>
          </w:p>
        </w:tc>
        <w:tc>
          <w:tcPr>
            <w:tcW w:w="104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1421"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按时提供服务率</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5</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71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 xml:space="preserve"> 5</w:t>
            </w:r>
          </w:p>
        </w:tc>
        <w:tc>
          <w:tcPr>
            <w:tcW w:w="104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567" w:hRule="atLeast"/>
        </w:trPr>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522"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成本指标</w:t>
            </w:r>
          </w:p>
        </w:tc>
        <w:tc>
          <w:tcPr>
            <w:tcW w:w="1421"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实际成本完成率</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5</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100%</w:t>
            </w:r>
            <w:r>
              <w:rPr>
                <w:sz w:val="21"/>
                <w:szCs w:val="21"/>
              </w:rPr>
              <w:t> </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71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5</w:t>
            </w:r>
          </w:p>
        </w:tc>
        <w:tc>
          <w:tcPr>
            <w:tcW w:w="104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745" w:type="dxa"/>
            <w:vMerge w:val="restart"/>
            <w:tcBorders>
              <w:top w:val="single" w:color="000000" w:sz="2" w:space="0"/>
              <w:left w:val="inset" w:color="000000" w:sz="6" w:space="0"/>
              <w:bottom w:val="nil"/>
              <w:right w:val="inset" w:color="000000" w:sz="6" w:space="0"/>
            </w:tcBorders>
            <w:vAlign w:val="center"/>
          </w:tcPr>
          <w:p>
            <w:pPr>
              <w:pStyle w:val="21"/>
              <w:autoSpaceDN w:val="0"/>
              <w:jc w:val="both"/>
              <w:rPr>
                <w:sz w:val="21"/>
                <w:szCs w:val="21"/>
              </w:rPr>
            </w:pPr>
            <w:r>
              <w:rPr>
                <w:sz w:val="21"/>
                <w:szCs w:val="21"/>
              </w:rPr>
              <w:t> </w:t>
            </w:r>
          </w:p>
        </w:tc>
        <w:tc>
          <w:tcPr>
            <w:tcW w:w="715" w:type="dxa"/>
            <w:vMerge w:val="restart"/>
            <w:tcBorders>
              <w:top w:val="single" w:color="000000" w:sz="2" w:space="0"/>
              <w:left w:val="single" w:color="000000" w:sz="2" w:space="0"/>
              <w:bottom w:val="nil"/>
              <w:right w:val="inset" w:color="000000" w:sz="6" w:space="0"/>
            </w:tcBorders>
            <w:vAlign w:val="center"/>
          </w:tcPr>
          <w:p>
            <w:pPr>
              <w:pStyle w:val="21"/>
              <w:autoSpaceDN w:val="0"/>
              <w:jc w:val="both"/>
              <w:rPr>
                <w:sz w:val="21"/>
                <w:szCs w:val="21"/>
              </w:rPr>
            </w:pPr>
            <w:r>
              <w:rPr>
                <w:b/>
                <w:bCs/>
                <w:sz w:val="21"/>
                <w:szCs w:val="21"/>
              </w:rPr>
              <w:t>(30</w:t>
            </w:r>
            <w:r>
              <w:rPr>
                <w:rFonts w:hint="eastAsia" w:ascii="宋体" w:hAnsi="宋体"/>
                <w:b/>
                <w:bCs/>
                <w:sz w:val="21"/>
                <w:szCs w:val="21"/>
              </w:rPr>
              <w:t>分</w:t>
            </w:r>
            <w:r>
              <w:rPr>
                <w:b/>
                <w:bCs/>
                <w:sz w:val="21"/>
                <w:szCs w:val="21"/>
              </w:rPr>
              <w:t>)</w:t>
            </w:r>
            <w:r>
              <w:rPr>
                <w:sz w:val="21"/>
                <w:szCs w:val="21"/>
              </w:rPr>
              <w:t> </w:t>
            </w:r>
            <w:r>
              <w:rPr>
                <w:b/>
                <w:bCs/>
                <w:sz w:val="21"/>
                <w:szCs w:val="21"/>
              </w:rPr>
              <w:t>效益指标</w:t>
            </w:r>
          </w:p>
        </w:tc>
        <w:tc>
          <w:tcPr>
            <w:tcW w:w="52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经济效益指标</w:t>
            </w:r>
          </w:p>
        </w:tc>
        <w:tc>
          <w:tcPr>
            <w:tcW w:w="1421"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为市级河湖水环境改善提供规划依据，增强河湖管理信息化程度，进一步促进营商环境改善。</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编制完成全部</w:t>
            </w:r>
            <w:r>
              <w:rPr>
                <w:sz w:val="21"/>
                <w:szCs w:val="21"/>
              </w:rPr>
              <w:t>17</w:t>
            </w:r>
            <w:r>
              <w:rPr>
                <w:rFonts w:hint="eastAsia" w:ascii="宋体" w:hAnsi="宋体"/>
                <w:sz w:val="21"/>
                <w:szCs w:val="21"/>
              </w:rPr>
              <w:t>条（座）市级河湖岸线保护与利用规划，制作完成呼伦贝尔市河道三维信息管理数据库。</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全部完成</w:t>
            </w:r>
          </w:p>
        </w:tc>
        <w:tc>
          <w:tcPr>
            <w:tcW w:w="71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104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52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社会效益指标</w:t>
            </w:r>
          </w:p>
        </w:tc>
        <w:tc>
          <w:tcPr>
            <w:tcW w:w="1421"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为市级河湖岸线保护与科学有序开发利用提供依据，为下一步建设亲水岸线提供规划支持。</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按规划编制指南明确全部市级</w:t>
            </w:r>
            <w:r>
              <w:rPr>
                <w:sz w:val="21"/>
                <w:szCs w:val="21"/>
              </w:rPr>
              <w:t>17</w:t>
            </w:r>
            <w:r>
              <w:rPr>
                <w:rFonts w:hint="eastAsia" w:ascii="宋体" w:hAnsi="宋体"/>
                <w:sz w:val="21"/>
                <w:szCs w:val="21"/>
              </w:rPr>
              <w:t>条（座）岸线开发利用分区及控制利用分区。</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完成全部市级河湖岸线开发利用区及控制利用区设置</w:t>
            </w:r>
          </w:p>
        </w:tc>
        <w:tc>
          <w:tcPr>
            <w:tcW w:w="71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10</w:t>
            </w:r>
          </w:p>
        </w:tc>
        <w:tc>
          <w:tcPr>
            <w:tcW w:w="104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52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生态效益指标</w:t>
            </w:r>
          </w:p>
        </w:tc>
        <w:tc>
          <w:tcPr>
            <w:tcW w:w="1421"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为市级河湖岸线保护工作及防止岸线过渡开发破坏生态环境提供规划支撑。</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按规划编制指南明确全部市级</w:t>
            </w:r>
            <w:r>
              <w:rPr>
                <w:sz w:val="21"/>
                <w:szCs w:val="21"/>
              </w:rPr>
              <w:t>17</w:t>
            </w:r>
            <w:r>
              <w:rPr>
                <w:rFonts w:hint="eastAsia" w:ascii="宋体" w:hAnsi="宋体"/>
                <w:sz w:val="21"/>
                <w:szCs w:val="21"/>
              </w:rPr>
              <w:t>条（座）岸线保留分区及保护分区。</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完成全部市级河湖岸线保留区及保护区设置</w:t>
            </w:r>
          </w:p>
        </w:tc>
        <w:tc>
          <w:tcPr>
            <w:tcW w:w="71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104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52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可持续影响指标</w:t>
            </w:r>
          </w:p>
        </w:tc>
        <w:tc>
          <w:tcPr>
            <w:tcW w:w="1421"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为今后一定时期内市级河湖岸线保护与开发利用提供指导，为河湖“清四乱”规范化、常态化提供依据，促进河湖水生态环境持续向好。</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按上级有关规程、指南及大纲复核</w:t>
            </w:r>
            <w:r>
              <w:rPr>
                <w:sz w:val="21"/>
                <w:szCs w:val="21"/>
              </w:rPr>
              <w:t>2019</w:t>
            </w:r>
            <w:r>
              <w:rPr>
                <w:rFonts w:hint="eastAsia" w:ascii="宋体" w:hAnsi="宋体"/>
                <w:sz w:val="21"/>
                <w:szCs w:val="21"/>
              </w:rPr>
              <w:t>年已完成的全部市级</w:t>
            </w:r>
            <w:r>
              <w:rPr>
                <w:sz w:val="21"/>
                <w:szCs w:val="21"/>
              </w:rPr>
              <w:t>17</w:t>
            </w:r>
            <w:r>
              <w:rPr>
                <w:rFonts w:hint="eastAsia" w:ascii="宋体" w:hAnsi="宋体"/>
                <w:sz w:val="21"/>
                <w:szCs w:val="21"/>
              </w:rPr>
              <w:t>条（座）河湖管理范围划定成果，并按程序向社会公告。</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全部完成</w:t>
            </w:r>
          </w:p>
        </w:tc>
        <w:tc>
          <w:tcPr>
            <w:tcW w:w="71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104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745" w:type="dxa"/>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715"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满意度指标(10</w:t>
            </w:r>
            <w:r>
              <w:rPr>
                <w:rFonts w:hint="eastAsia" w:ascii="宋体" w:hAnsi="宋体"/>
                <w:b/>
                <w:bCs/>
                <w:sz w:val="21"/>
                <w:szCs w:val="21"/>
              </w:rPr>
              <w:t>分</w:t>
            </w:r>
            <w:r>
              <w:rPr>
                <w:b/>
                <w:bCs/>
                <w:sz w:val="21"/>
                <w:szCs w:val="21"/>
              </w:rPr>
              <w:t>)</w:t>
            </w:r>
          </w:p>
        </w:tc>
        <w:tc>
          <w:tcPr>
            <w:tcW w:w="52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服务对象满意度指标</w:t>
            </w:r>
          </w:p>
        </w:tc>
        <w:tc>
          <w:tcPr>
            <w:tcW w:w="1421"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社会公众满意</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仿宋_GB2312" w:eastAsia="仿宋_GB2312"/>
                <w:sz w:val="21"/>
                <w:szCs w:val="21"/>
              </w:rPr>
              <w:t>≥</w:t>
            </w:r>
            <w:r>
              <w:rPr>
                <w:sz w:val="21"/>
                <w:szCs w:val="21"/>
              </w:rPr>
              <w:t>90</w:t>
            </w:r>
            <w:r>
              <w:rPr>
                <w:rFonts w:hint="eastAsia" w:ascii="宋体" w:hAnsi="宋体"/>
                <w:sz w:val="21"/>
                <w:szCs w:val="21"/>
              </w:rPr>
              <w:t>%</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9</w:t>
            </w:r>
            <w:r>
              <w:rPr>
                <w:rFonts w:hint="eastAsia" w:ascii="宋体" w:hAnsi="宋体"/>
                <w:sz w:val="21"/>
                <w:szCs w:val="21"/>
              </w:rPr>
              <w:t>5%</w:t>
            </w:r>
          </w:p>
        </w:tc>
        <w:tc>
          <w:tcPr>
            <w:tcW w:w="71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104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3404" w:type="dxa"/>
            <w:gridSpan w:val="5"/>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总分</w:t>
            </w:r>
          </w:p>
        </w:tc>
        <w:tc>
          <w:tcPr>
            <w:tcW w:w="92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100</w:t>
            </w:r>
          </w:p>
        </w:tc>
        <w:tc>
          <w:tcPr>
            <w:tcW w:w="116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05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749"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bl>
    <w:p>
      <w:pPr>
        <w:pStyle w:val="21"/>
        <w:autoSpaceDN w:val="0"/>
        <w:spacing w:line="580" w:lineRule="atLeast"/>
        <w:jc w:val="both"/>
      </w:pPr>
      <w:r>
        <w:t xml:space="preserve"> </w:t>
      </w:r>
    </w:p>
    <w:p>
      <w:pPr>
        <w:pStyle w:val="21"/>
        <w:autoSpaceDN w:val="0"/>
        <w:spacing w:line="580" w:lineRule="atLeast"/>
        <w:jc w:val="both"/>
      </w:pPr>
      <w:r>
        <w:t xml:space="preserve"> </w:t>
      </w:r>
    </w:p>
    <w:p>
      <w:pPr>
        <w:pStyle w:val="21"/>
        <w:autoSpaceDN w:val="0"/>
        <w:spacing w:line="580" w:lineRule="atLeast"/>
        <w:jc w:val="both"/>
      </w:pPr>
      <w:r>
        <w:t xml:space="preserve"> </w:t>
      </w:r>
    </w:p>
    <w:p>
      <w:pPr>
        <w:pStyle w:val="21"/>
        <w:autoSpaceDN w:val="0"/>
        <w:spacing w:line="580" w:lineRule="atLeast"/>
        <w:jc w:val="both"/>
      </w:pPr>
      <w:r>
        <w:t xml:space="preserve"> </w:t>
      </w:r>
    </w:p>
    <w:tbl>
      <w:tblPr>
        <w:tblStyle w:val="12"/>
        <w:tblW w:w="0" w:type="auto"/>
        <w:tblInd w:w="0" w:type="dxa"/>
        <w:tblLayout w:type="autofit"/>
        <w:tblCellMar>
          <w:top w:w="0" w:type="dxa"/>
          <w:left w:w="108" w:type="dxa"/>
          <w:bottom w:w="0" w:type="dxa"/>
          <w:right w:w="108" w:type="dxa"/>
        </w:tblCellMar>
      </w:tblPr>
      <w:tblGrid>
        <w:gridCol w:w="963"/>
        <w:gridCol w:w="797"/>
        <w:gridCol w:w="710"/>
        <w:gridCol w:w="851"/>
        <w:gridCol w:w="386"/>
        <w:gridCol w:w="217"/>
        <w:gridCol w:w="853"/>
        <w:gridCol w:w="114"/>
        <w:gridCol w:w="640"/>
        <w:gridCol w:w="26"/>
        <w:gridCol w:w="859"/>
        <w:gridCol w:w="441"/>
        <w:gridCol w:w="715"/>
        <w:gridCol w:w="505"/>
        <w:gridCol w:w="222"/>
        <w:gridCol w:w="223"/>
      </w:tblGrid>
      <w:tr>
        <w:tblPrEx>
          <w:tblCellMar>
            <w:top w:w="0" w:type="dxa"/>
            <w:left w:w="108" w:type="dxa"/>
            <w:bottom w:w="0" w:type="dxa"/>
            <w:right w:w="108" w:type="dxa"/>
          </w:tblCellMar>
        </w:tblPrEx>
        <w:trPr>
          <w:trHeight w:val="255" w:hRule="atLeast"/>
        </w:trPr>
        <w:tc>
          <w:tcPr>
            <w:tcW w:w="8306" w:type="dxa"/>
            <w:gridSpan w:val="16"/>
            <w:tcBorders>
              <w:top w:val="single" w:color="000000" w:sz="4" w:space="0"/>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项目支出绩效自评表</w:t>
            </w:r>
          </w:p>
        </w:tc>
      </w:tr>
      <w:tr>
        <w:tc>
          <w:tcPr>
            <w:tcW w:w="8306" w:type="dxa"/>
            <w:gridSpan w:val="16"/>
            <w:tcBorders>
              <w:top w:val="single" w:color="000000" w:sz="4" w:space="0"/>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（2020 年度）</w:t>
            </w:r>
          </w:p>
        </w:tc>
      </w:tr>
      <w:tr>
        <w:tblPrEx>
          <w:tblCellMar>
            <w:top w:w="0" w:type="dxa"/>
            <w:left w:w="108" w:type="dxa"/>
            <w:bottom w:w="0" w:type="dxa"/>
            <w:right w:w="108" w:type="dxa"/>
          </w:tblCellMar>
        </w:tblPrEx>
        <w:tc>
          <w:tcPr>
            <w:tcW w:w="999" w:type="dxa"/>
            <w:tcBorders>
              <w:top w:val="single" w:color="000000" w:sz="4" w:space="0"/>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项目名称</w:t>
            </w:r>
          </w:p>
        </w:tc>
        <w:tc>
          <w:tcPr>
            <w:tcW w:w="2796" w:type="dxa"/>
            <w:gridSpan w:val="4"/>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防汛抗旱</w:t>
            </w:r>
          </w:p>
        </w:tc>
        <w:tc>
          <w:tcPr>
            <w:tcW w:w="1367" w:type="dxa"/>
            <w:gridSpan w:val="4"/>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项目负责人及电话</w:t>
            </w:r>
          </w:p>
        </w:tc>
        <w:tc>
          <w:tcPr>
            <w:tcW w:w="3144" w:type="dxa"/>
            <w:gridSpan w:val="5"/>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刘兴彪     8212210</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999" w:type="dxa"/>
            <w:tcBorders>
              <w:top w:val="single" w:color="000000" w:sz="4" w:space="0"/>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主管部门</w:t>
            </w:r>
          </w:p>
        </w:tc>
        <w:tc>
          <w:tcPr>
            <w:tcW w:w="2796" w:type="dxa"/>
            <w:gridSpan w:val="4"/>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呼伦贝尔市水利局</w:t>
            </w:r>
          </w:p>
        </w:tc>
        <w:tc>
          <w:tcPr>
            <w:tcW w:w="1367" w:type="dxa"/>
            <w:gridSpan w:val="4"/>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实施单位</w:t>
            </w:r>
          </w:p>
        </w:tc>
        <w:tc>
          <w:tcPr>
            <w:tcW w:w="3144" w:type="dxa"/>
            <w:gridSpan w:val="5"/>
            <w:tcBorders>
              <w:top w:val="single" w:color="000000" w:sz="4" w:space="0"/>
              <w:left w:val="nil"/>
              <w:bottom w:val="single" w:color="000000" w:sz="4" w:space="0"/>
              <w:right w:val="single" w:color="000000" w:sz="4" w:space="0"/>
            </w:tcBorders>
            <w:vAlign w:val="center"/>
          </w:tcPr>
          <w:p>
            <w:pPr>
              <w:pStyle w:val="21"/>
              <w:autoSpaceDN w:val="0"/>
              <w:jc w:val="both"/>
            </w:pPr>
            <w:r>
              <w:rPr>
                <w:rFonts w:hint="eastAsia" w:ascii="仿宋_GB2312" w:eastAsia="仿宋_GB2312"/>
                <w:sz w:val="21"/>
                <w:szCs w:val="21"/>
              </w:rPr>
              <w:t>呼伦贝尔市水利局</w:t>
            </w:r>
          </w:p>
          <w:p>
            <w:pPr>
              <w:pStyle w:val="21"/>
              <w:autoSpaceDN w:val="0"/>
              <w:jc w:val="both"/>
              <w:rPr>
                <w:sz w:val="21"/>
                <w:szCs w:val="21"/>
              </w:rPr>
            </w:pPr>
            <w:r>
              <w:rPr>
                <w:rFonts w:hint="eastAsia" w:ascii="宋体" w:hAnsi="宋体"/>
                <w:sz w:val="24"/>
                <w:szCs w:val="24"/>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999" w:type="dxa"/>
            <w:vMerge w:val="restart"/>
            <w:tcBorders>
              <w:top w:val="nil"/>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项目预算执行情况</w:t>
            </w:r>
            <w:r>
              <w:rPr>
                <w:sz w:val="21"/>
                <w:szCs w:val="21"/>
              </w:rPr>
              <w:t> </w:t>
            </w:r>
            <w:r>
              <w:rPr>
                <w:rFonts w:hint="eastAsia" w:ascii="仿宋_GB2312" w:eastAsia="仿宋_GB2312"/>
                <w:b/>
                <w:bCs/>
                <w:sz w:val="21"/>
                <w:szCs w:val="21"/>
              </w:rPr>
              <w:t>（万元）</w:t>
            </w:r>
          </w:p>
        </w:tc>
        <w:tc>
          <w:tcPr>
            <w:tcW w:w="142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21"/>
                <w:szCs w:val="21"/>
              </w:rPr>
              <w:t> </w:t>
            </w:r>
          </w:p>
        </w:tc>
        <w:tc>
          <w:tcPr>
            <w:tcW w:w="1368"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全年预算数（A）</w:t>
            </w:r>
          </w:p>
        </w:tc>
        <w:tc>
          <w:tcPr>
            <w:tcW w:w="1367"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全年执行数（B）</w:t>
            </w:r>
          </w:p>
        </w:tc>
        <w:tc>
          <w:tcPr>
            <w:tcW w:w="669"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分值</w:t>
            </w:r>
          </w:p>
        </w:tc>
        <w:tc>
          <w:tcPr>
            <w:tcW w:w="1596"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执行率（B/A)</w:t>
            </w:r>
          </w:p>
        </w:tc>
        <w:tc>
          <w:tcPr>
            <w:tcW w:w="88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得分</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142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年度资金总额：</w:t>
            </w:r>
          </w:p>
        </w:tc>
        <w:tc>
          <w:tcPr>
            <w:tcW w:w="1368"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1367"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669"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10</w:t>
            </w:r>
          </w:p>
        </w:tc>
        <w:tc>
          <w:tcPr>
            <w:tcW w:w="1596"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88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142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其中：财政拨款</w:t>
            </w:r>
          </w:p>
        </w:tc>
        <w:tc>
          <w:tcPr>
            <w:tcW w:w="1368"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1367"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669"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w:t>
            </w:r>
          </w:p>
        </w:tc>
        <w:tc>
          <w:tcPr>
            <w:tcW w:w="1596"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88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142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其他资金</w:t>
            </w:r>
          </w:p>
        </w:tc>
        <w:tc>
          <w:tcPr>
            <w:tcW w:w="1368"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21"/>
                <w:szCs w:val="21"/>
              </w:rPr>
              <w:t> </w:t>
            </w:r>
          </w:p>
        </w:tc>
        <w:tc>
          <w:tcPr>
            <w:tcW w:w="1367"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21"/>
                <w:szCs w:val="21"/>
              </w:rPr>
              <w:t> </w:t>
            </w:r>
          </w:p>
        </w:tc>
        <w:tc>
          <w:tcPr>
            <w:tcW w:w="669"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w:t>
            </w:r>
          </w:p>
        </w:tc>
        <w:tc>
          <w:tcPr>
            <w:tcW w:w="1596"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21"/>
                <w:szCs w:val="21"/>
              </w:rPr>
              <w:t> </w:t>
            </w:r>
          </w:p>
        </w:tc>
        <w:tc>
          <w:tcPr>
            <w:tcW w:w="88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999" w:type="dxa"/>
            <w:vMerge w:val="restart"/>
            <w:tcBorders>
              <w:top w:val="nil"/>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年度总体目标完成情况</w:t>
            </w:r>
          </w:p>
        </w:tc>
        <w:tc>
          <w:tcPr>
            <w:tcW w:w="2796" w:type="dxa"/>
            <w:gridSpan w:val="4"/>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预期目标</w:t>
            </w:r>
          </w:p>
        </w:tc>
        <w:tc>
          <w:tcPr>
            <w:tcW w:w="4511" w:type="dxa"/>
            <w:gridSpan w:val="10"/>
            <w:tcBorders>
              <w:top w:val="single" w:color="000000" w:sz="4" w:space="0"/>
              <w:left w:val="nil"/>
              <w:bottom w:val="single" w:color="000000" w:sz="4" w:space="0"/>
              <w:right w:val="single" w:color="000000" w:sz="4" w:space="0"/>
            </w:tcBorders>
            <w:vAlign w:val="center"/>
          </w:tcPr>
          <w:p>
            <w:pPr>
              <w:pStyle w:val="21"/>
              <w:autoSpaceDN w:val="0"/>
              <w:jc w:val="both"/>
            </w:pPr>
            <w:r>
              <w:rPr>
                <w:rFonts w:hint="eastAsia" w:ascii="仿宋_GB2312" w:eastAsia="仿宋_GB2312"/>
                <w:b/>
                <w:bCs/>
                <w:sz w:val="21"/>
                <w:szCs w:val="21"/>
              </w:rPr>
              <w:t>目标实际完成情况</w:t>
            </w:r>
          </w:p>
          <w:p>
            <w:pPr>
              <w:pStyle w:val="21"/>
              <w:autoSpaceDN w:val="0"/>
              <w:jc w:val="both"/>
              <w:rPr>
                <w:sz w:val="21"/>
                <w:szCs w:val="21"/>
              </w:rPr>
            </w:pPr>
            <w:r>
              <w:rPr>
                <w:rFonts w:hint="eastAsia" w:ascii="宋体" w:hAnsi="宋体"/>
                <w:sz w:val="24"/>
                <w:szCs w:val="24"/>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983" w:hRule="atLeast"/>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2796" w:type="dxa"/>
            <w:gridSpan w:val="4"/>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呼伦贝尔市汛期检查指挥调度、指导水旱灾害防御工作</w:t>
            </w:r>
          </w:p>
        </w:tc>
        <w:tc>
          <w:tcPr>
            <w:tcW w:w="4511" w:type="dxa"/>
            <w:gridSpan w:val="10"/>
            <w:tcBorders>
              <w:top w:val="single" w:color="000000" w:sz="4" w:space="0"/>
              <w:left w:val="nil"/>
              <w:bottom w:val="single" w:color="000000" w:sz="4" w:space="0"/>
              <w:right w:val="single" w:color="000000" w:sz="4" w:space="0"/>
            </w:tcBorders>
            <w:vAlign w:val="center"/>
          </w:tcPr>
          <w:p>
            <w:pPr>
              <w:pStyle w:val="21"/>
              <w:autoSpaceDN w:val="0"/>
              <w:jc w:val="both"/>
            </w:pPr>
            <w:r>
              <w:rPr>
                <w:rFonts w:hint="eastAsia" w:ascii="仿宋_GB2312" w:eastAsia="仿宋_GB2312"/>
                <w:sz w:val="21"/>
                <w:szCs w:val="21"/>
              </w:rPr>
              <w:t>呼伦贝尔市汛期检查指挥调度、指导水旱灾害防御工作</w:t>
            </w:r>
          </w:p>
          <w:p>
            <w:pPr>
              <w:pStyle w:val="21"/>
              <w:autoSpaceDN w:val="0"/>
              <w:jc w:val="both"/>
              <w:rPr>
                <w:sz w:val="21"/>
                <w:szCs w:val="21"/>
              </w:rPr>
            </w:pPr>
            <w:r>
              <w:rPr>
                <w:rFonts w:hint="eastAsia" w:ascii="宋体" w:hAnsi="宋体"/>
                <w:sz w:val="24"/>
                <w:szCs w:val="24"/>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999" w:type="dxa"/>
            <w:vMerge w:val="restart"/>
            <w:tcBorders>
              <w:top w:val="nil"/>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绩效指标</w:t>
            </w:r>
          </w:p>
        </w:tc>
        <w:tc>
          <w:tcPr>
            <w:tcW w:w="554"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一级指标</w:t>
            </w:r>
          </w:p>
        </w:tc>
        <w:tc>
          <w:tcPr>
            <w:tcW w:w="87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二级指标</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三级指标</w:t>
            </w:r>
          </w:p>
        </w:tc>
        <w:tc>
          <w:tcPr>
            <w:tcW w:w="704"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分值</w:t>
            </w:r>
          </w:p>
        </w:tc>
        <w:tc>
          <w:tcPr>
            <w:tcW w:w="93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预期指标值</w:t>
            </w:r>
          </w:p>
        </w:tc>
        <w:tc>
          <w:tcPr>
            <w:tcW w:w="862"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实际完成指标值</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得分</w:t>
            </w:r>
          </w:p>
        </w:tc>
        <w:tc>
          <w:tcPr>
            <w:tcW w:w="1501"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未完成原因及拟采取的改进措施</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621" w:hRule="atLeast"/>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554" w:type="dxa"/>
            <w:vMerge w:val="restart"/>
            <w:tcBorders>
              <w:top w:val="nil"/>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产出指标</w:t>
            </w:r>
            <w:r>
              <w:rPr>
                <w:sz w:val="21"/>
                <w:szCs w:val="21"/>
              </w:rPr>
              <w:t> </w:t>
            </w:r>
            <w:r>
              <w:rPr>
                <w:rFonts w:hint="eastAsia" w:ascii="仿宋_GB2312" w:eastAsia="仿宋_GB2312"/>
                <w:b/>
                <w:bCs/>
                <w:sz w:val="21"/>
                <w:szCs w:val="21"/>
              </w:rPr>
              <w:t>(50分)</w:t>
            </w:r>
          </w:p>
        </w:tc>
        <w:tc>
          <w:tcPr>
            <w:tcW w:w="872" w:type="dxa"/>
            <w:vMerge w:val="restart"/>
            <w:tcBorders>
              <w:top w:val="nil"/>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数量指标</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汛期检查指导次数</w:t>
            </w:r>
          </w:p>
        </w:tc>
        <w:tc>
          <w:tcPr>
            <w:tcW w:w="704"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93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16</w:t>
            </w:r>
          </w:p>
        </w:tc>
        <w:tc>
          <w:tcPr>
            <w:tcW w:w="862"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16</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1501"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宋体" w:hAnsi="宋体"/>
                <w:sz w:val="24"/>
                <w:szCs w:val="24"/>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干旱统计指导次数</w:t>
            </w:r>
          </w:p>
        </w:tc>
        <w:tc>
          <w:tcPr>
            <w:tcW w:w="704"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93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w:t>
            </w:r>
          </w:p>
        </w:tc>
        <w:tc>
          <w:tcPr>
            <w:tcW w:w="862"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1501"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宋体" w:hAnsi="宋体"/>
                <w:sz w:val="24"/>
                <w:szCs w:val="24"/>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619" w:hRule="atLeast"/>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72" w:type="dxa"/>
            <w:vMerge w:val="restart"/>
            <w:tcBorders>
              <w:top w:val="nil"/>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质量指标</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汛期有效指导率</w:t>
            </w:r>
          </w:p>
        </w:tc>
        <w:tc>
          <w:tcPr>
            <w:tcW w:w="704"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93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862"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1501"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宋体" w:hAnsi="宋体"/>
                <w:sz w:val="24"/>
                <w:szCs w:val="24"/>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干旱统计覆盖率</w:t>
            </w:r>
          </w:p>
        </w:tc>
        <w:tc>
          <w:tcPr>
            <w:tcW w:w="704"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93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862"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1501"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宋体" w:hAnsi="宋体"/>
                <w:sz w:val="24"/>
                <w:szCs w:val="24"/>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521" w:hRule="atLeast"/>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72" w:type="dxa"/>
            <w:vMerge w:val="restart"/>
            <w:tcBorders>
              <w:top w:val="nil"/>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时效指标</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汛期指导及时率</w:t>
            </w:r>
          </w:p>
        </w:tc>
        <w:tc>
          <w:tcPr>
            <w:tcW w:w="704"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5</w:t>
            </w:r>
          </w:p>
        </w:tc>
        <w:tc>
          <w:tcPr>
            <w:tcW w:w="93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862"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5</w:t>
            </w:r>
          </w:p>
        </w:tc>
        <w:tc>
          <w:tcPr>
            <w:tcW w:w="1501"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干旱统计及时率</w:t>
            </w:r>
          </w:p>
        </w:tc>
        <w:tc>
          <w:tcPr>
            <w:tcW w:w="704"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5</w:t>
            </w:r>
          </w:p>
        </w:tc>
        <w:tc>
          <w:tcPr>
            <w:tcW w:w="93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862"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5</w:t>
            </w:r>
          </w:p>
        </w:tc>
        <w:tc>
          <w:tcPr>
            <w:tcW w:w="1501"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567" w:hRule="atLeast"/>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7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成本指标</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实际成本完成率</w:t>
            </w:r>
          </w:p>
        </w:tc>
        <w:tc>
          <w:tcPr>
            <w:tcW w:w="704"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5</w:t>
            </w:r>
          </w:p>
        </w:tc>
        <w:tc>
          <w:tcPr>
            <w:tcW w:w="93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862"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5</w:t>
            </w:r>
          </w:p>
        </w:tc>
        <w:tc>
          <w:tcPr>
            <w:tcW w:w="1501"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554" w:type="dxa"/>
            <w:vMerge w:val="restart"/>
            <w:tcBorders>
              <w:top w:val="nil"/>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(30分)</w:t>
            </w:r>
            <w:r>
              <w:rPr>
                <w:sz w:val="21"/>
                <w:szCs w:val="21"/>
              </w:rPr>
              <w:t> </w:t>
            </w:r>
            <w:r>
              <w:rPr>
                <w:rFonts w:hint="eastAsia" w:ascii="仿宋_GB2312" w:eastAsia="仿宋_GB2312"/>
                <w:b/>
                <w:bCs/>
                <w:sz w:val="21"/>
                <w:szCs w:val="21"/>
              </w:rPr>
              <w:t>效益指标</w:t>
            </w:r>
          </w:p>
        </w:tc>
        <w:tc>
          <w:tcPr>
            <w:tcW w:w="87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经济效益指标</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是否保护本地经济发展</w:t>
            </w:r>
          </w:p>
        </w:tc>
        <w:tc>
          <w:tcPr>
            <w:tcW w:w="704"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93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是</w:t>
            </w:r>
          </w:p>
        </w:tc>
        <w:tc>
          <w:tcPr>
            <w:tcW w:w="862"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是</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1501"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7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社会效益指标</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是否保护本地人口和生产安全</w:t>
            </w:r>
          </w:p>
        </w:tc>
        <w:tc>
          <w:tcPr>
            <w:tcW w:w="704"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93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是</w:t>
            </w:r>
          </w:p>
        </w:tc>
        <w:tc>
          <w:tcPr>
            <w:tcW w:w="862"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是</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1501"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7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生态效益指标</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是否保护本地生态环境</w:t>
            </w:r>
          </w:p>
        </w:tc>
        <w:tc>
          <w:tcPr>
            <w:tcW w:w="704"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5</w:t>
            </w:r>
          </w:p>
        </w:tc>
        <w:tc>
          <w:tcPr>
            <w:tcW w:w="93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是</w:t>
            </w:r>
          </w:p>
        </w:tc>
        <w:tc>
          <w:tcPr>
            <w:tcW w:w="862"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是</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5</w:t>
            </w:r>
          </w:p>
        </w:tc>
        <w:tc>
          <w:tcPr>
            <w:tcW w:w="1501"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7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可持续影响指标</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是否有利于可持续性发展</w:t>
            </w:r>
          </w:p>
        </w:tc>
        <w:tc>
          <w:tcPr>
            <w:tcW w:w="704"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5</w:t>
            </w:r>
          </w:p>
        </w:tc>
        <w:tc>
          <w:tcPr>
            <w:tcW w:w="93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是</w:t>
            </w:r>
          </w:p>
        </w:tc>
        <w:tc>
          <w:tcPr>
            <w:tcW w:w="862"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是</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5</w:t>
            </w:r>
          </w:p>
        </w:tc>
        <w:tc>
          <w:tcPr>
            <w:tcW w:w="1501"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554"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满意度指标(10分)</w:t>
            </w:r>
          </w:p>
        </w:tc>
        <w:tc>
          <w:tcPr>
            <w:tcW w:w="87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服务对象满意度指标</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受益群众满意度</w:t>
            </w:r>
          </w:p>
        </w:tc>
        <w:tc>
          <w:tcPr>
            <w:tcW w:w="704"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93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≥90%</w:t>
            </w:r>
          </w:p>
        </w:tc>
        <w:tc>
          <w:tcPr>
            <w:tcW w:w="862"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94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w:t>
            </w:r>
          </w:p>
        </w:tc>
        <w:tc>
          <w:tcPr>
            <w:tcW w:w="1501"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2426" w:type="dxa"/>
            <w:gridSpan w:val="3"/>
            <w:tcBorders>
              <w:top w:val="single" w:color="000000" w:sz="4" w:space="0"/>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总分</w:t>
            </w:r>
          </w:p>
        </w:tc>
        <w:tc>
          <w:tcPr>
            <w:tcW w:w="1646"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100</w:t>
            </w:r>
          </w:p>
        </w:tc>
        <w:tc>
          <w:tcPr>
            <w:tcW w:w="1793" w:type="dxa"/>
            <w:gridSpan w:val="4"/>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21"/>
                <w:szCs w:val="21"/>
              </w:rPr>
              <w:t> </w:t>
            </w:r>
          </w:p>
        </w:tc>
        <w:tc>
          <w:tcPr>
            <w:tcW w:w="942"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100</w:t>
            </w:r>
          </w:p>
        </w:tc>
        <w:tc>
          <w:tcPr>
            <w:tcW w:w="149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宋体" w:hAnsi="宋体"/>
                <w:sz w:val="24"/>
                <w:szCs w:val="24"/>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bl>
    <w:p>
      <w:pPr>
        <w:pStyle w:val="21"/>
        <w:autoSpaceDN w:val="0"/>
        <w:jc w:val="both"/>
      </w:pPr>
      <w:r>
        <w:rPr>
          <w:rFonts w:hint="eastAsia" w:ascii="仿宋_GB2312" w:eastAsia="仿宋_GB2312"/>
          <w:sz w:val="21"/>
          <w:szCs w:val="21"/>
        </w:rPr>
        <w:t xml:space="preserve"> </w:t>
      </w:r>
    </w:p>
    <w:p>
      <w:pPr>
        <w:pStyle w:val="21"/>
        <w:autoSpaceDN w:val="0"/>
        <w:jc w:val="both"/>
      </w:pPr>
      <w:r>
        <w:rPr>
          <w:rFonts w:hint="eastAsia" w:ascii="仿宋_GB2312" w:eastAsia="仿宋_GB2312"/>
          <w:sz w:val="21"/>
          <w:szCs w:val="21"/>
        </w:rPr>
        <w:t xml:space="preserve"> </w:t>
      </w:r>
    </w:p>
    <w:p>
      <w:pPr>
        <w:pStyle w:val="21"/>
        <w:autoSpaceDN w:val="0"/>
        <w:jc w:val="both"/>
      </w:pPr>
      <w:r>
        <w:rPr>
          <w:rFonts w:hint="eastAsia" w:ascii="仿宋_GB2312" w:eastAsia="仿宋_GB2312"/>
          <w:sz w:val="21"/>
          <w:szCs w:val="21"/>
        </w:rPr>
        <w:t xml:space="preserve"> </w:t>
      </w:r>
    </w:p>
    <w:p>
      <w:pPr>
        <w:pStyle w:val="21"/>
        <w:autoSpaceDN w:val="0"/>
        <w:jc w:val="both"/>
      </w:pPr>
      <w:r>
        <w:rPr>
          <w:rFonts w:hint="eastAsia" w:ascii="仿宋_GB2312" w:eastAsia="仿宋_GB2312"/>
          <w:sz w:val="21"/>
          <w:szCs w:val="21"/>
        </w:rPr>
        <w:t xml:space="preserve"> </w:t>
      </w:r>
    </w:p>
    <w:tbl>
      <w:tblPr>
        <w:tblStyle w:val="12"/>
        <w:tblW w:w="0" w:type="auto"/>
        <w:tblInd w:w="0" w:type="dxa"/>
        <w:tblLayout w:type="autofit"/>
        <w:tblCellMar>
          <w:top w:w="0" w:type="dxa"/>
          <w:left w:w="108" w:type="dxa"/>
          <w:bottom w:w="0" w:type="dxa"/>
          <w:right w:w="108" w:type="dxa"/>
        </w:tblCellMar>
      </w:tblPr>
      <w:tblGrid>
        <w:gridCol w:w="598"/>
        <w:gridCol w:w="761"/>
        <w:gridCol w:w="463"/>
        <w:gridCol w:w="1153"/>
        <w:gridCol w:w="855"/>
        <w:gridCol w:w="846"/>
        <w:gridCol w:w="132"/>
        <w:gridCol w:w="966"/>
        <w:gridCol w:w="358"/>
        <w:gridCol w:w="640"/>
        <w:gridCol w:w="767"/>
        <w:gridCol w:w="760"/>
        <w:gridCol w:w="223"/>
      </w:tblGrid>
      <w:tr>
        <w:tblPrEx>
          <w:tblCellMar>
            <w:top w:w="0" w:type="dxa"/>
            <w:left w:w="108" w:type="dxa"/>
            <w:bottom w:w="0" w:type="dxa"/>
            <w:right w:w="108" w:type="dxa"/>
          </w:tblCellMar>
        </w:tblPrEx>
        <w:tc>
          <w:tcPr>
            <w:tcW w:w="8306" w:type="dxa"/>
            <w:gridSpan w:val="13"/>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项目支出绩效自评表</w:t>
            </w:r>
          </w:p>
        </w:tc>
      </w:tr>
      <w:tr>
        <w:tblPrEx>
          <w:tblCellMar>
            <w:top w:w="0" w:type="dxa"/>
            <w:left w:w="108" w:type="dxa"/>
            <w:bottom w:w="0" w:type="dxa"/>
            <w:right w:w="108" w:type="dxa"/>
          </w:tblCellMar>
        </w:tblPrEx>
        <w:tc>
          <w:tcPr>
            <w:tcW w:w="8306" w:type="dxa"/>
            <w:gridSpan w:val="13"/>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 xml:space="preserve">（ 2020 </w:t>
            </w:r>
            <w:r>
              <w:rPr>
                <w:rFonts w:hint="eastAsia" w:ascii="宋体" w:hAnsi="宋体"/>
                <w:b/>
                <w:bCs/>
                <w:sz w:val="21"/>
                <w:szCs w:val="21"/>
              </w:rPr>
              <w:t>年度）</w:t>
            </w:r>
          </w:p>
        </w:tc>
      </w:tr>
      <w:tr>
        <w:tblPrEx>
          <w:tblCellMar>
            <w:top w:w="0" w:type="dxa"/>
            <w:left w:w="108" w:type="dxa"/>
            <w:bottom w:w="0" w:type="dxa"/>
            <w:right w:w="108" w:type="dxa"/>
          </w:tblCellMar>
        </w:tblPrEx>
        <w:tc>
          <w:tcPr>
            <w:tcW w:w="1350" w:type="dxa"/>
            <w:gridSpan w:val="2"/>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项目名称</w:t>
            </w:r>
          </w:p>
        </w:tc>
        <w:tc>
          <w:tcPr>
            <w:tcW w:w="2656" w:type="dxa"/>
            <w:gridSpan w:val="3"/>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市级河湖水生态综合治理规划（含新一轮市级河湖“一河（湖）一策”实施方案修编）</w:t>
            </w:r>
            <w:r>
              <w:rPr>
                <w:sz w:val="21"/>
                <w:szCs w:val="21"/>
              </w:rPr>
              <w:t> </w:t>
            </w:r>
          </w:p>
        </w:tc>
        <w:tc>
          <w:tcPr>
            <w:tcW w:w="96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项目负责人及电话</w:t>
            </w:r>
          </w:p>
        </w:tc>
        <w:tc>
          <w:tcPr>
            <w:tcW w:w="3340" w:type="dxa"/>
            <w:gridSpan w:val="5"/>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 xml:space="preserve">梁心蕊 </w:t>
            </w:r>
            <w:r>
              <w:rPr>
                <w:sz w:val="21"/>
                <w:szCs w:val="21"/>
              </w:rPr>
              <w:t xml:space="preserve">8212258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1350" w:type="dxa"/>
            <w:gridSpan w:val="2"/>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主管部门</w:t>
            </w:r>
          </w:p>
        </w:tc>
        <w:tc>
          <w:tcPr>
            <w:tcW w:w="2656" w:type="dxa"/>
            <w:gridSpan w:val="3"/>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呼伦贝尔市水利局</w:t>
            </w:r>
            <w:r>
              <w:rPr>
                <w:sz w:val="21"/>
                <w:szCs w:val="21"/>
              </w:rPr>
              <w:t> </w:t>
            </w:r>
          </w:p>
        </w:tc>
        <w:tc>
          <w:tcPr>
            <w:tcW w:w="96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实施单位</w:t>
            </w:r>
          </w:p>
        </w:tc>
        <w:tc>
          <w:tcPr>
            <w:tcW w:w="3340" w:type="dxa"/>
            <w:gridSpan w:val="5"/>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 xml:space="preserve">呼伦贝尔市水利局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1350" w:type="dxa"/>
            <w:gridSpan w:val="2"/>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项目预算执行情况</w:t>
            </w:r>
            <w:r>
              <w:rPr>
                <w:sz w:val="21"/>
                <w:szCs w:val="21"/>
              </w:rPr>
              <w:t> </w:t>
            </w:r>
            <w:r>
              <w:rPr>
                <w:b/>
                <w:bCs/>
                <w:sz w:val="21"/>
                <w:szCs w:val="21"/>
              </w:rPr>
              <w:t>（万元）</w:t>
            </w:r>
          </w:p>
        </w:tc>
        <w:tc>
          <w:tcPr>
            <w:tcW w:w="1798"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全年预算数（A</w:t>
            </w:r>
            <w:r>
              <w:rPr>
                <w:rFonts w:hint="eastAsia" w:ascii="宋体" w:hAnsi="宋体"/>
                <w:b/>
                <w:bCs/>
                <w:sz w:val="21"/>
                <w:szCs w:val="21"/>
              </w:rPr>
              <w:t>）</w:t>
            </w:r>
          </w:p>
        </w:tc>
        <w:tc>
          <w:tcPr>
            <w:tcW w:w="96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全年执行数（B</w:t>
            </w:r>
            <w:r>
              <w:rPr>
                <w:rFonts w:hint="eastAsia" w:ascii="宋体" w:hAnsi="宋体"/>
                <w:b/>
                <w:bCs/>
                <w:sz w:val="21"/>
                <w:szCs w:val="21"/>
              </w:rPr>
              <w:t>）</w:t>
            </w:r>
          </w:p>
        </w:tc>
        <w:tc>
          <w:tcPr>
            <w:tcW w:w="1638"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分值</w:t>
            </w:r>
          </w:p>
        </w:tc>
        <w:tc>
          <w:tcPr>
            <w:tcW w:w="863"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执行率（B/A)</w:t>
            </w:r>
          </w:p>
        </w:tc>
        <w:tc>
          <w:tcPr>
            <w:tcW w:w="83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得分</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1350" w:type="dxa"/>
            <w:gridSpan w:val="2"/>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798"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年度资金总额：</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197.9</w:t>
            </w:r>
          </w:p>
        </w:tc>
        <w:tc>
          <w:tcPr>
            <w:tcW w:w="96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197.9</w:t>
            </w:r>
          </w:p>
        </w:tc>
        <w:tc>
          <w:tcPr>
            <w:tcW w:w="1638"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10</w:t>
            </w:r>
          </w:p>
        </w:tc>
        <w:tc>
          <w:tcPr>
            <w:tcW w:w="863"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83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332" w:hRule="atLeast"/>
        </w:trPr>
        <w:tc>
          <w:tcPr>
            <w:tcW w:w="1350" w:type="dxa"/>
            <w:gridSpan w:val="2"/>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798"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其中：财政拨款</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197.9</w:t>
            </w:r>
            <w:r>
              <w:rPr>
                <w:sz w:val="21"/>
                <w:szCs w:val="21"/>
              </w:rPr>
              <w:t> </w:t>
            </w:r>
          </w:p>
        </w:tc>
        <w:tc>
          <w:tcPr>
            <w:tcW w:w="96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197.9</w:t>
            </w:r>
          </w:p>
        </w:tc>
        <w:tc>
          <w:tcPr>
            <w:tcW w:w="1638"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w:t>
            </w:r>
          </w:p>
        </w:tc>
        <w:tc>
          <w:tcPr>
            <w:tcW w:w="863"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83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1350" w:type="dxa"/>
            <w:gridSpan w:val="2"/>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798"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其他资金</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96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638"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w:t>
            </w:r>
          </w:p>
        </w:tc>
        <w:tc>
          <w:tcPr>
            <w:tcW w:w="863"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83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689" w:type="dxa"/>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年度总体目标完成情况</w:t>
            </w:r>
          </w:p>
        </w:tc>
        <w:tc>
          <w:tcPr>
            <w:tcW w:w="3318" w:type="dxa"/>
            <w:gridSpan w:val="4"/>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预期目标</w:t>
            </w:r>
          </w:p>
        </w:tc>
        <w:tc>
          <w:tcPr>
            <w:tcW w:w="4299" w:type="dxa"/>
            <w:gridSpan w:val="7"/>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目标实际完成情况</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983" w:hRule="atLeast"/>
        </w:trPr>
        <w:tc>
          <w:tcPr>
            <w:tcW w:w="689" w:type="dxa"/>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3318" w:type="dxa"/>
            <w:gridSpan w:val="4"/>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全市范围内选取两条重点河流及两座重点湖泊（水库），编制水生态综合治理规划；对呼伦贝尔市</w:t>
            </w:r>
            <w:r>
              <w:rPr>
                <w:sz w:val="21"/>
                <w:szCs w:val="21"/>
              </w:rPr>
              <w:t>16</w:t>
            </w:r>
            <w:r>
              <w:rPr>
                <w:rFonts w:hint="eastAsia" w:ascii="宋体" w:hAnsi="宋体"/>
                <w:sz w:val="21"/>
                <w:szCs w:val="21"/>
              </w:rPr>
              <w:t>条河道、</w:t>
            </w:r>
            <w:r>
              <w:rPr>
                <w:sz w:val="21"/>
                <w:szCs w:val="21"/>
              </w:rPr>
              <w:t>1</w:t>
            </w:r>
            <w:r>
              <w:rPr>
                <w:rFonts w:hint="eastAsia" w:ascii="宋体" w:hAnsi="宋体"/>
                <w:sz w:val="21"/>
                <w:szCs w:val="21"/>
              </w:rPr>
              <w:t>座湖泊的新一轮“一河（湖）一策”实施方案进行修编。</w:t>
            </w:r>
          </w:p>
        </w:tc>
        <w:tc>
          <w:tcPr>
            <w:tcW w:w="4299" w:type="dxa"/>
            <w:gridSpan w:val="7"/>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完成《呼伦贝尔市伊敏河和红花尔基水库水生态综合治理“十四五”规划》及《呼伦贝尔市莫尔格勒河和呼和诺尔水生态综合治理“十四五”规划》，完成呼伦贝尔市</w:t>
            </w:r>
            <w:r>
              <w:rPr>
                <w:sz w:val="21"/>
                <w:szCs w:val="21"/>
              </w:rPr>
              <w:t>16</w:t>
            </w:r>
            <w:r>
              <w:rPr>
                <w:rFonts w:hint="eastAsia" w:ascii="宋体" w:hAnsi="宋体"/>
                <w:sz w:val="21"/>
                <w:szCs w:val="21"/>
              </w:rPr>
              <w:t>条河流、</w:t>
            </w:r>
            <w:r>
              <w:rPr>
                <w:sz w:val="21"/>
                <w:szCs w:val="21"/>
              </w:rPr>
              <w:t>1</w:t>
            </w:r>
            <w:r>
              <w:rPr>
                <w:rFonts w:hint="eastAsia" w:ascii="宋体" w:hAnsi="宋体"/>
                <w:sz w:val="21"/>
                <w:szCs w:val="21"/>
              </w:rPr>
              <w:t>座湖泊的新一轮“一河（湖）一策”实施方案修编。</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689" w:type="dxa"/>
            <w:vMerge w:val="restart"/>
            <w:tcBorders>
              <w:top w:val="single" w:color="000000" w:sz="2" w:space="0"/>
              <w:left w:val="inset" w:color="000000" w:sz="6" w:space="0"/>
              <w:bottom w:val="nil"/>
              <w:right w:val="inset" w:color="000000" w:sz="6" w:space="0"/>
            </w:tcBorders>
            <w:vAlign w:val="center"/>
          </w:tcPr>
          <w:p>
            <w:pPr>
              <w:pStyle w:val="21"/>
              <w:autoSpaceDN w:val="0"/>
              <w:jc w:val="both"/>
              <w:rPr>
                <w:sz w:val="21"/>
                <w:szCs w:val="21"/>
              </w:rPr>
            </w:pPr>
            <w:r>
              <w:rPr>
                <w:b/>
                <w:bCs/>
                <w:sz w:val="21"/>
                <w:szCs w:val="21"/>
              </w:rPr>
              <w:t>绩效指标</w:t>
            </w:r>
          </w:p>
        </w:tc>
        <w:tc>
          <w:tcPr>
            <w:tcW w:w="661"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一级指标</w:t>
            </w:r>
          </w:p>
        </w:tc>
        <w:tc>
          <w:tcPr>
            <w:tcW w:w="48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二级指标</w:t>
            </w:r>
          </w:p>
        </w:tc>
        <w:tc>
          <w:tcPr>
            <w:tcW w:w="1314"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三级指标</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分值</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预期指标值</w:t>
            </w:r>
          </w:p>
        </w:tc>
        <w:tc>
          <w:tcPr>
            <w:tcW w:w="131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实际完成指标值</w:t>
            </w:r>
          </w:p>
        </w:tc>
        <w:tc>
          <w:tcPr>
            <w:tcW w:w="123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得分</w:t>
            </w:r>
          </w:p>
        </w:tc>
        <w:tc>
          <w:tcPr>
            <w:tcW w:w="96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未完成原因及拟采取的改进措施</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621" w:hRule="atLeast"/>
        </w:trPr>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661"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产出指标</w:t>
            </w:r>
            <w:r>
              <w:rPr>
                <w:sz w:val="21"/>
                <w:szCs w:val="21"/>
              </w:rPr>
              <w:t> </w:t>
            </w:r>
            <w:r>
              <w:rPr>
                <w:b/>
                <w:bCs/>
                <w:sz w:val="21"/>
                <w:szCs w:val="21"/>
              </w:rPr>
              <w:t>(50</w:t>
            </w:r>
            <w:r>
              <w:rPr>
                <w:rFonts w:hint="eastAsia" w:ascii="宋体" w:hAnsi="宋体"/>
                <w:b/>
                <w:bCs/>
                <w:sz w:val="21"/>
                <w:szCs w:val="21"/>
              </w:rPr>
              <w:t>分</w:t>
            </w:r>
            <w:r>
              <w:rPr>
                <w:b/>
                <w:bCs/>
                <w:sz w:val="21"/>
                <w:szCs w:val="21"/>
              </w:rPr>
              <w:t>)</w:t>
            </w:r>
          </w:p>
        </w:tc>
        <w:tc>
          <w:tcPr>
            <w:tcW w:w="482"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数量指标</w:t>
            </w:r>
          </w:p>
        </w:tc>
        <w:tc>
          <w:tcPr>
            <w:tcW w:w="1314"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全市范围选取重点“两河两湖”编制完成水生态综合治理规划</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4</w:t>
            </w:r>
          </w:p>
        </w:tc>
        <w:tc>
          <w:tcPr>
            <w:tcW w:w="131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4</w:t>
            </w:r>
          </w:p>
        </w:tc>
        <w:tc>
          <w:tcPr>
            <w:tcW w:w="123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96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661"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482"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314"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完成呼伦贝尔市级</w:t>
            </w:r>
            <w:r>
              <w:rPr>
                <w:sz w:val="21"/>
                <w:szCs w:val="21"/>
              </w:rPr>
              <w:t>16</w:t>
            </w:r>
            <w:r>
              <w:rPr>
                <w:rFonts w:hint="eastAsia" w:ascii="宋体" w:hAnsi="宋体"/>
                <w:sz w:val="21"/>
                <w:szCs w:val="21"/>
              </w:rPr>
              <w:t>条河流、</w:t>
            </w:r>
            <w:r>
              <w:rPr>
                <w:sz w:val="21"/>
                <w:szCs w:val="21"/>
              </w:rPr>
              <w:t>1</w:t>
            </w:r>
            <w:r>
              <w:rPr>
                <w:rFonts w:hint="eastAsia" w:ascii="宋体" w:hAnsi="宋体"/>
                <w:sz w:val="21"/>
                <w:szCs w:val="21"/>
              </w:rPr>
              <w:t>座湖泊的新一轮“一河（湖）一策”实施方案修编。</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17</w:t>
            </w:r>
          </w:p>
        </w:tc>
        <w:tc>
          <w:tcPr>
            <w:tcW w:w="131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w:t>
            </w:r>
            <w:r>
              <w:rPr>
                <w:sz w:val="21"/>
                <w:szCs w:val="21"/>
              </w:rPr>
              <w:t xml:space="preserve">7 </w:t>
            </w:r>
          </w:p>
        </w:tc>
        <w:tc>
          <w:tcPr>
            <w:tcW w:w="123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96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619" w:hRule="atLeast"/>
        </w:trPr>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661"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482"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质量指标</w:t>
            </w:r>
          </w:p>
        </w:tc>
        <w:tc>
          <w:tcPr>
            <w:tcW w:w="1314"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“两河两湖”规划报告书自治区年度考核通过率</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100%</w:t>
            </w:r>
            <w:r>
              <w:rPr>
                <w:sz w:val="21"/>
                <w:szCs w:val="21"/>
              </w:rPr>
              <w:t> </w:t>
            </w:r>
          </w:p>
        </w:tc>
        <w:tc>
          <w:tcPr>
            <w:tcW w:w="131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100%</w:t>
            </w:r>
          </w:p>
        </w:tc>
        <w:tc>
          <w:tcPr>
            <w:tcW w:w="123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96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661"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482"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314"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市级河湖新一轮“一河（湖）一策”实施方案河长签发率</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131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100%</w:t>
            </w:r>
          </w:p>
        </w:tc>
        <w:tc>
          <w:tcPr>
            <w:tcW w:w="123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96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521" w:hRule="atLeast"/>
        </w:trPr>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661"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482"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时效指标</w:t>
            </w:r>
          </w:p>
        </w:tc>
        <w:tc>
          <w:tcPr>
            <w:tcW w:w="1314"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按时提供“两河两湖”规划报告书率</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5</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100%</w:t>
            </w:r>
            <w:r>
              <w:rPr>
                <w:sz w:val="21"/>
                <w:szCs w:val="21"/>
              </w:rPr>
              <w:t> </w:t>
            </w:r>
          </w:p>
        </w:tc>
        <w:tc>
          <w:tcPr>
            <w:tcW w:w="131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123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5</w:t>
            </w:r>
          </w:p>
        </w:tc>
        <w:tc>
          <w:tcPr>
            <w:tcW w:w="96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661"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482"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314"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按时提供市级河湖新一轮“一河（湖）一策”实施方案率</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5</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131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123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 xml:space="preserve"> 5</w:t>
            </w:r>
          </w:p>
        </w:tc>
        <w:tc>
          <w:tcPr>
            <w:tcW w:w="96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567" w:hRule="atLeast"/>
        </w:trPr>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661"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482"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成本指标</w:t>
            </w:r>
          </w:p>
        </w:tc>
        <w:tc>
          <w:tcPr>
            <w:tcW w:w="1314"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实际成本完成率</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5</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100%</w:t>
            </w:r>
            <w:r>
              <w:rPr>
                <w:sz w:val="21"/>
                <w:szCs w:val="21"/>
              </w:rPr>
              <w:t> </w:t>
            </w:r>
          </w:p>
        </w:tc>
        <w:tc>
          <w:tcPr>
            <w:tcW w:w="131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123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5</w:t>
            </w:r>
          </w:p>
        </w:tc>
        <w:tc>
          <w:tcPr>
            <w:tcW w:w="96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661"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(30</w:t>
            </w:r>
            <w:r>
              <w:rPr>
                <w:rFonts w:hint="eastAsia" w:ascii="宋体" w:hAnsi="宋体"/>
                <w:b/>
                <w:bCs/>
                <w:sz w:val="21"/>
                <w:szCs w:val="21"/>
              </w:rPr>
              <w:t>分</w:t>
            </w:r>
            <w:r>
              <w:rPr>
                <w:b/>
                <w:bCs/>
                <w:sz w:val="21"/>
                <w:szCs w:val="21"/>
              </w:rPr>
              <w:t>)</w:t>
            </w:r>
            <w:r>
              <w:rPr>
                <w:sz w:val="21"/>
                <w:szCs w:val="21"/>
              </w:rPr>
              <w:t> </w:t>
            </w:r>
            <w:r>
              <w:rPr>
                <w:b/>
                <w:bCs/>
                <w:sz w:val="21"/>
                <w:szCs w:val="21"/>
              </w:rPr>
              <w:t>效益指标</w:t>
            </w:r>
          </w:p>
        </w:tc>
        <w:tc>
          <w:tcPr>
            <w:tcW w:w="48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经济效益指标</w:t>
            </w:r>
          </w:p>
        </w:tc>
        <w:tc>
          <w:tcPr>
            <w:tcW w:w="1314"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为选取的全市重点河湖水生态综合治理提供规划依据，为市级河湖管理保护精准施策提供支持，持续改善河湖水生态环境，进一步促进营商环境改善。</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编制完成“两河两湖”水生态综合治理规划，编制完成市级</w:t>
            </w:r>
            <w:r>
              <w:rPr>
                <w:sz w:val="21"/>
                <w:szCs w:val="21"/>
              </w:rPr>
              <w:t>17</w:t>
            </w:r>
            <w:r>
              <w:rPr>
                <w:rFonts w:hint="eastAsia" w:ascii="宋体" w:hAnsi="宋体"/>
                <w:sz w:val="21"/>
                <w:szCs w:val="21"/>
              </w:rPr>
              <w:t>条（座）河湖“一河（湖）一策”实施方案</w:t>
            </w:r>
          </w:p>
        </w:tc>
        <w:tc>
          <w:tcPr>
            <w:tcW w:w="131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全部完成</w:t>
            </w:r>
          </w:p>
        </w:tc>
        <w:tc>
          <w:tcPr>
            <w:tcW w:w="123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96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661"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48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社会效益指标</w:t>
            </w:r>
          </w:p>
        </w:tc>
        <w:tc>
          <w:tcPr>
            <w:tcW w:w="1314"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为选取的重点河湖水生态环境改善、水文化建设提供对策及方向，使目标河湖周边环境、目标河湖水文化建设更好的满足人民群众对美好生活环境的需求，为市级河湖管理保护提供“一河（湖）一策”，精准处理，靶向治水。</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通过实地踏勘、座谈调研、意见征集等方式，了解重点河湖水生态方面存在问题及需求，编制规划。通过实地踏勘、资料收集、征求意见等方式，更新市级河湖“一河（湖）一策”实施方案。</w:t>
            </w:r>
          </w:p>
        </w:tc>
        <w:tc>
          <w:tcPr>
            <w:tcW w:w="131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全部完成</w:t>
            </w:r>
          </w:p>
        </w:tc>
        <w:tc>
          <w:tcPr>
            <w:tcW w:w="123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10</w:t>
            </w:r>
          </w:p>
        </w:tc>
        <w:tc>
          <w:tcPr>
            <w:tcW w:w="96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661"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48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生态效益指标</w:t>
            </w:r>
          </w:p>
        </w:tc>
        <w:tc>
          <w:tcPr>
            <w:tcW w:w="1314"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从水生态空间管控、水安全保障、水质维护与改善、水生态保护与修复等多个角度对目标河湖水生态综合治理进行总体谋划，提升目标河湖水质、水环境质量，改善滨河滨湖生态系统质量。通过“一河（湖）一策”实施方案的落地落实，进一步推进河畅、水清、岸绿、景美的最终目标尽早实现。</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完成目标河湖水生态空间管控、水安全保障、水质维护与改善、水生态保护与修复子规划。完成市级河湖“一河（湖）一策”实施方案修编，并由相应河湖市级河湖长签发实施。</w:t>
            </w:r>
          </w:p>
        </w:tc>
        <w:tc>
          <w:tcPr>
            <w:tcW w:w="131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全部完成</w:t>
            </w:r>
          </w:p>
        </w:tc>
        <w:tc>
          <w:tcPr>
            <w:tcW w:w="123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96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661"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48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可持续影响指标</w:t>
            </w:r>
          </w:p>
        </w:tc>
        <w:tc>
          <w:tcPr>
            <w:tcW w:w="1314"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为今后一定时期内“两河两湖”水生态综合治理目标河湖的治理工作提供依据和指导。以河湖长制六大任务为根本，为市级河湖管理保护提供清晰的、可执行的、易考核的问题清单、目标清单、任务、措施及责任清单。</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为今后一定时期内“两河两湖”水生态综合治理目标河湖的治理工作提供依据和指导。编制完成市级河湖“一河（湖）一策”实施方案中问题清单、目标清单、任务、措施及责任清单。</w:t>
            </w:r>
          </w:p>
        </w:tc>
        <w:tc>
          <w:tcPr>
            <w:tcW w:w="131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全部完成</w:t>
            </w:r>
          </w:p>
        </w:tc>
        <w:tc>
          <w:tcPr>
            <w:tcW w:w="123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96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661"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满意度指标(10</w:t>
            </w:r>
            <w:r>
              <w:rPr>
                <w:rFonts w:hint="eastAsia" w:ascii="宋体" w:hAnsi="宋体"/>
                <w:b/>
                <w:bCs/>
                <w:sz w:val="21"/>
                <w:szCs w:val="21"/>
              </w:rPr>
              <w:t>分</w:t>
            </w:r>
            <w:r>
              <w:rPr>
                <w:b/>
                <w:bCs/>
                <w:sz w:val="21"/>
                <w:szCs w:val="21"/>
              </w:rPr>
              <w:t>)</w:t>
            </w:r>
          </w:p>
        </w:tc>
        <w:tc>
          <w:tcPr>
            <w:tcW w:w="48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服务对象满意度指标</w:t>
            </w:r>
          </w:p>
        </w:tc>
        <w:tc>
          <w:tcPr>
            <w:tcW w:w="1314"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受益公众群体满意度</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10</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≥90</w:t>
            </w:r>
            <w:r>
              <w:rPr>
                <w:rFonts w:hint="eastAsia" w:ascii="宋体" w:hAnsi="宋体"/>
                <w:sz w:val="21"/>
                <w:szCs w:val="21"/>
              </w:rPr>
              <w:t>%</w:t>
            </w:r>
          </w:p>
        </w:tc>
        <w:tc>
          <w:tcPr>
            <w:tcW w:w="131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95%</w:t>
            </w:r>
          </w:p>
        </w:tc>
        <w:tc>
          <w:tcPr>
            <w:tcW w:w="123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965"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c>
          <w:tcPr>
            <w:tcW w:w="3148" w:type="dxa"/>
            <w:gridSpan w:val="4"/>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总分</w:t>
            </w:r>
          </w:p>
        </w:tc>
        <w:tc>
          <w:tcPr>
            <w:tcW w:w="85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100</w:t>
            </w:r>
          </w:p>
        </w:tc>
        <w:tc>
          <w:tcPr>
            <w:tcW w:w="79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314"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2196" w:type="dxa"/>
            <w:gridSpan w:val="3"/>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100</w:t>
            </w: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bl>
    <w:p>
      <w:pPr>
        <w:pStyle w:val="21"/>
        <w:autoSpaceDN w:val="0"/>
        <w:jc w:val="both"/>
      </w:pPr>
      <w:r>
        <w:rPr>
          <w:rFonts w:hint="eastAsia" w:ascii="仿宋_GB2312" w:eastAsia="仿宋_GB2312"/>
          <w:sz w:val="21"/>
          <w:szCs w:val="21"/>
        </w:rPr>
        <w:t xml:space="preserve"> </w:t>
      </w:r>
    </w:p>
    <w:p>
      <w:pPr>
        <w:pStyle w:val="21"/>
        <w:autoSpaceDN w:val="0"/>
        <w:jc w:val="both"/>
      </w:pPr>
      <w:r>
        <w:rPr>
          <w:rFonts w:hint="eastAsia" w:ascii="仿宋_GB2312" w:eastAsia="仿宋_GB2312"/>
          <w:sz w:val="21"/>
          <w:szCs w:val="21"/>
        </w:rPr>
        <w:t xml:space="preserve"> </w:t>
      </w:r>
    </w:p>
    <w:p>
      <w:pPr>
        <w:pStyle w:val="21"/>
        <w:autoSpaceDN w:val="0"/>
        <w:jc w:val="both"/>
      </w:pPr>
      <w:r>
        <w:rPr>
          <w:rFonts w:hint="eastAsia" w:ascii="仿宋_GB2312" w:eastAsia="仿宋_GB2312"/>
          <w:sz w:val="21"/>
          <w:szCs w:val="21"/>
        </w:rP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rPr>
          <w:rFonts w:hint="eastAsia" w:ascii="仿宋_GB2312" w:eastAsia="仿宋_GB2312"/>
          <w:sz w:val="21"/>
          <w:szCs w:val="21"/>
        </w:rPr>
        <w:t xml:space="preserve"> </w:t>
      </w:r>
    </w:p>
    <w:p>
      <w:pPr>
        <w:pStyle w:val="21"/>
        <w:autoSpaceDN w:val="0"/>
        <w:jc w:val="both"/>
        <w:rPr>
          <w:rFonts w:ascii="仿宋_GB2312" w:eastAsia="仿宋_GB2312"/>
          <w:sz w:val="21"/>
          <w:szCs w:val="21"/>
        </w:rPr>
      </w:pPr>
      <w:r>
        <w:rPr>
          <w:rFonts w:hint="eastAsia" w:ascii="仿宋_GB2312" w:eastAsia="仿宋_GB2312"/>
          <w:sz w:val="21"/>
          <w:szCs w:val="21"/>
        </w:rPr>
        <w:t xml:space="preserve"> </w:t>
      </w:r>
    </w:p>
    <w:p>
      <w:pPr>
        <w:pStyle w:val="21"/>
        <w:autoSpaceDN w:val="0"/>
        <w:jc w:val="both"/>
        <w:rPr>
          <w:rFonts w:hint="eastAsia" w:ascii="仿宋_GB2312" w:eastAsia="仿宋_GB2312"/>
          <w:sz w:val="21"/>
          <w:szCs w:val="21"/>
        </w:rPr>
      </w:pPr>
      <w:r>
        <w:rPr>
          <w:rFonts w:hint="eastAsia" w:ascii="仿宋_GB2312" w:eastAsia="仿宋_GB2312"/>
          <w:sz w:val="21"/>
          <w:szCs w:val="21"/>
        </w:rPr>
        <w:t xml:space="preserve"> </w:t>
      </w:r>
    </w:p>
    <w:p>
      <w:pPr>
        <w:pStyle w:val="21"/>
        <w:autoSpaceDN w:val="0"/>
        <w:jc w:val="both"/>
        <w:rPr>
          <w:rFonts w:hint="eastAsia"/>
        </w:rPr>
      </w:pPr>
      <w:r>
        <w:rPr>
          <w:rFonts w:hint="eastAsia" w:ascii="仿宋_GB2312" w:eastAsia="仿宋_GB2312"/>
          <w:sz w:val="21"/>
          <w:szCs w:val="21"/>
        </w:rPr>
        <w:t xml:space="preserve"> </w:t>
      </w:r>
    </w:p>
    <w:p>
      <w:pPr>
        <w:pStyle w:val="21"/>
        <w:autoSpaceDN w:val="0"/>
        <w:jc w:val="both"/>
      </w:pPr>
      <w:r>
        <w:rPr>
          <w:rFonts w:hint="eastAsia" w:ascii="仿宋_GB2312" w:eastAsia="仿宋_GB2312"/>
          <w:sz w:val="21"/>
          <w:szCs w:val="21"/>
        </w:rPr>
        <w:t xml:space="preserve"> </w:t>
      </w:r>
    </w:p>
    <w:tbl>
      <w:tblPr>
        <w:tblStyle w:val="12"/>
        <w:tblW w:w="0" w:type="auto"/>
        <w:jc w:val="center"/>
        <w:tblLayout w:type="autofit"/>
        <w:tblCellMar>
          <w:top w:w="0" w:type="dxa"/>
          <w:left w:w="108" w:type="dxa"/>
          <w:bottom w:w="0" w:type="dxa"/>
          <w:right w:w="108" w:type="dxa"/>
        </w:tblCellMar>
      </w:tblPr>
      <w:tblGrid>
        <w:gridCol w:w="537"/>
        <w:gridCol w:w="761"/>
        <w:gridCol w:w="440"/>
        <w:gridCol w:w="909"/>
        <w:gridCol w:w="809"/>
        <w:gridCol w:w="762"/>
        <w:gridCol w:w="180"/>
        <w:gridCol w:w="833"/>
        <w:gridCol w:w="89"/>
        <w:gridCol w:w="887"/>
        <w:gridCol w:w="1055"/>
        <w:gridCol w:w="222"/>
        <w:gridCol w:w="222"/>
        <w:gridCol w:w="816"/>
      </w:tblGrid>
      <w:tr>
        <w:tblPrEx>
          <w:tblCellMar>
            <w:top w:w="0" w:type="dxa"/>
            <w:left w:w="108" w:type="dxa"/>
            <w:bottom w:w="0" w:type="dxa"/>
            <w:right w:w="108" w:type="dxa"/>
          </w:tblCellMar>
        </w:tblPrEx>
        <w:trPr>
          <w:jc w:val="center"/>
        </w:trPr>
        <w:tc>
          <w:tcPr>
            <w:tcW w:w="8305" w:type="dxa"/>
            <w:gridSpan w:val="14"/>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项目支出绩效自评表</w:t>
            </w:r>
          </w:p>
        </w:tc>
      </w:tr>
      <w:tr>
        <w:tblPrEx>
          <w:tblCellMar>
            <w:top w:w="0" w:type="dxa"/>
            <w:left w:w="108" w:type="dxa"/>
            <w:bottom w:w="0" w:type="dxa"/>
            <w:right w:w="108" w:type="dxa"/>
          </w:tblCellMar>
        </w:tblPrEx>
        <w:trPr>
          <w:jc w:val="center"/>
        </w:trPr>
        <w:tc>
          <w:tcPr>
            <w:tcW w:w="8305" w:type="dxa"/>
            <w:gridSpan w:val="14"/>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 xml:space="preserve">（ 2020 </w:t>
            </w:r>
            <w:r>
              <w:rPr>
                <w:rFonts w:hint="eastAsia" w:ascii="宋体" w:hAnsi="宋体"/>
                <w:b/>
                <w:bCs/>
                <w:sz w:val="21"/>
                <w:szCs w:val="21"/>
              </w:rPr>
              <w:t>年度）</w:t>
            </w:r>
          </w:p>
        </w:tc>
      </w:tr>
      <w:tr>
        <w:tblPrEx>
          <w:tblCellMar>
            <w:top w:w="0" w:type="dxa"/>
            <w:left w:w="108" w:type="dxa"/>
            <w:bottom w:w="0" w:type="dxa"/>
            <w:right w:w="108" w:type="dxa"/>
          </w:tblCellMar>
        </w:tblPrEx>
        <w:trPr>
          <w:jc w:val="center"/>
        </w:trPr>
        <w:tc>
          <w:tcPr>
            <w:tcW w:w="1294" w:type="dxa"/>
            <w:gridSpan w:val="2"/>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项目名称</w:t>
            </w:r>
          </w:p>
        </w:tc>
        <w:tc>
          <w:tcPr>
            <w:tcW w:w="2324" w:type="dxa"/>
            <w:gridSpan w:val="4"/>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b/>
                <w:bCs/>
                <w:sz w:val="21"/>
                <w:szCs w:val="21"/>
              </w:rPr>
              <w:t>呼伦贝尔市嫩江甘河大型灌溉区项目实施方案</w:t>
            </w:r>
          </w:p>
        </w:tc>
        <w:tc>
          <w:tcPr>
            <w:tcW w:w="99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项目负责人及电话</w:t>
            </w:r>
          </w:p>
        </w:tc>
        <w:tc>
          <w:tcPr>
            <w:tcW w:w="3695" w:type="dxa"/>
            <w:gridSpan w:val="5"/>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高云良 13274704619</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1294" w:type="dxa"/>
            <w:gridSpan w:val="2"/>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主管部门</w:t>
            </w:r>
          </w:p>
        </w:tc>
        <w:tc>
          <w:tcPr>
            <w:tcW w:w="2324" w:type="dxa"/>
            <w:gridSpan w:val="4"/>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呼伦贝尔市水利局</w:t>
            </w:r>
          </w:p>
        </w:tc>
        <w:tc>
          <w:tcPr>
            <w:tcW w:w="99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实施单位</w:t>
            </w:r>
          </w:p>
        </w:tc>
        <w:tc>
          <w:tcPr>
            <w:tcW w:w="3695" w:type="dxa"/>
            <w:gridSpan w:val="5"/>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呼伦贝尔市水利局</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1294" w:type="dxa"/>
            <w:gridSpan w:val="2"/>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项目预算执行情况</w:t>
            </w:r>
            <w:r>
              <w:rPr>
                <w:sz w:val="21"/>
                <w:szCs w:val="21"/>
              </w:rPr>
              <w:t> </w:t>
            </w:r>
            <w:r>
              <w:rPr>
                <w:b/>
                <w:bCs/>
                <w:sz w:val="21"/>
                <w:szCs w:val="21"/>
              </w:rPr>
              <w:t>（万元）</w:t>
            </w:r>
          </w:p>
        </w:tc>
        <w:tc>
          <w:tcPr>
            <w:tcW w:w="148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84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全年预算数（A</w:t>
            </w:r>
            <w:r>
              <w:rPr>
                <w:rFonts w:hint="eastAsia" w:ascii="宋体" w:hAnsi="宋体"/>
                <w:b/>
                <w:bCs/>
                <w:sz w:val="21"/>
                <w:szCs w:val="21"/>
              </w:rPr>
              <w:t>）</w:t>
            </w:r>
          </w:p>
        </w:tc>
        <w:tc>
          <w:tcPr>
            <w:tcW w:w="99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全年执行数（B</w:t>
            </w:r>
            <w:r>
              <w:rPr>
                <w:rFonts w:hint="eastAsia" w:ascii="宋体" w:hAnsi="宋体"/>
                <w:b/>
                <w:bCs/>
                <w:sz w:val="21"/>
                <w:szCs w:val="21"/>
              </w:rPr>
              <w:t>）</w:t>
            </w:r>
          </w:p>
        </w:tc>
        <w:tc>
          <w:tcPr>
            <w:tcW w:w="102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分值</w:t>
            </w:r>
          </w:p>
        </w:tc>
        <w:tc>
          <w:tcPr>
            <w:tcW w:w="87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执行率（B/A)</w:t>
            </w:r>
          </w:p>
        </w:tc>
        <w:tc>
          <w:tcPr>
            <w:tcW w:w="1805"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得分</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1294" w:type="dxa"/>
            <w:gridSpan w:val="2"/>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48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年度资金总额：</w:t>
            </w:r>
          </w:p>
        </w:tc>
        <w:tc>
          <w:tcPr>
            <w:tcW w:w="84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29.9</w:t>
            </w:r>
          </w:p>
        </w:tc>
        <w:tc>
          <w:tcPr>
            <w:tcW w:w="99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29.9</w:t>
            </w:r>
          </w:p>
        </w:tc>
        <w:tc>
          <w:tcPr>
            <w:tcW w:w="102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10</w:t>
            </w:r>
          </w:p>
        </w:tc>
        <w:tc>
          <w:tcPr>
            <w:tcW w:w="87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1805"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1294" w:type="dxa"/>
            <w:gridSpan w:val="2"/>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48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其中：财政拨款</w:t>
            </w:r>
          </w:p>
        </w:tc>
        <w:tc>
          <w:tcPr>
            <w:tcW w:w="84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29.9</w:t>
            </w:r>
          </w:p>
        </w:tc>
        <w:tc>
          <w:tcPr>
            <w:tcW w:w="99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29.9</w:t>
            </w:r>
          </w:p>
        </w:tc>
        <w:tc>
          <w:tcPr>
            <w:tcW w:w="102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w:t>
            </w:r>
          </w:p>
        </w:tc>
        <w:tc>
          <w:tcPr>
            <w:tcW w:w="87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1805"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1294" w:type="dxa"/>
            <w:gridSpan w:val="2"/>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48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其他资金</w:t>
            </w:r>
          </w:p>
        </w:tc>
        <w:tc>
          <w:tcPr>
            <w:tcW w:w="84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99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02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w:t>
            </w:r>
          </w:p>
        </w:tc>
        <w:tc>
          <w:tcPr>
            <w:tcW w:w="87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805"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723" w:type="dxa"/>
            <w:vMerge w:val="restart"/>
            <w:tcBorders>
              <w:top w:val="single" w:color="000000" w:sz="2" w:space="0"/>
              <w:left w:val="inset" w:color="000000" w:sz="6" w:space="0"/>
              <w:bottom w:val="nil"/>
              <w:right w:val="inset" w:color="000000" w:sz="6" w:space="0"/>
            </w:tcBorders>
            <w:vAlign w:val="center"/>
          </w:tcPr>
          <w:p>
            <w:pPr>
              <w:pStyle w:val="21"/>
              <w:autoSpaceDN w:val="0"/>
              <w:jc w:val="both"/>
              <w:rPr>
                <w:sz w:val="21"/>
                <w:szCs w:val="21"/>
              </w:rPr>
            </w:pPr>
            <w:r>
              <w:rPr>
                <w:b/>
                <w:bCs/>
                <w:sz w:val="21"/>
                <w:szCs w:val="21"/>
              </w:rPr>
              <w:t>年度总体目标完成情况</w:t>
            </w:r>
          </w:p>
        </w:tc>
        <w:tc>
          <w:tcPr>
            <w:tcW w:w="2895" w:type="dxa"/>
            <w:gridSpan w:val="6"/>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预期目标</w:t>
            </w:r>
          </w:p>
        </w:tc>
        <w:tc>
          <w:tcPr>
            <w:tcW w:w="4687" w:type="dxa"/>
            <w:gridSpan w:val="7"/>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目标实际完成情况</w:t>
            </w:r>
          </w:p>
        </w:tc>
      </w:tr>
      <w:tr>
        <w:trPr>
          <w:trHeight w:val="1257" w:hRule="atLeast"/>
          <w:jc w:val="center"/>
        </w:trPr>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2895" w:type="dxa"/>
            <w:gridSpan w:val="6"/>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于2020年</w:t>
            </w:r>
            <w:r>
              <w:rPr>
                <w:sz w:val="21"/>
                <w:szCs w:val="21"/>
              </w:rPr>
              <w:t>11</w:t>
            </w:r>
            <w:r>
              <w:rPr>
                <w:rFonts w:hint="eastAsia" w:ascii="宋体" w:hAnsi="宋体"/>
                <w:sz w:val="21"/>
                <w:szCs w:val="21"/>
              </w:rPr>
              <w:t>月</w:t>
            </w:r>
            <w:r>
              <w:rPr>
                <w:sz w:val="21"/>
                <w:szCs w:val="21"/>
              </w:rPr>
              <w:t>23</w:t>
            </w:r>
            <w:r>
              <w:rPr>
                <w:rFonts w:hint="eastAsia" w:ascii="宋体" w:hAnsi="宋体"/>
                <w:sz w:val="21"/>
                <w:szCs w:val="21"/>
              </w:rPr>
              <w:t>日前，编制完成嫩江甘河大型灌溉区项目实施方案</w:t>
            </w:r>
          </w:p>
        </w:tc>
        <w:tc>
          <w:tcPr>
            <w:tcW w:w="4687" w:type="dxa"/>
            <w:gridSpan w:val="7"/>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已按期编制完成嫩江甘河大型灌溉区项目实施方案并通过审查及发改备案</w:t>
            </w:r>
          </w:p>
        </w:tc>
      </w:tr>
      <w:tr>
        <w:trPr>
          <w:jc w:val="center"/>
        </w:trPr>
        <w:tc>
          <w:tcPr>
            <w:tcW w:w="723" w:type="dxa"/>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绩效指标</w:t>
            </w:r>
          </w:p>
        </w:tc>
        <w:tc>
          <w:tcPr>
            <w:tcW w:w="57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一级指标</w:t>
            </w:r>
          </w:p>
        </w:tc>
        <w:tc>
          <w:tcPr>
            <w:tcW w:w="463"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二级指标</w:t>
            </w:r>
          </w:p>
        </w:tc>
        <w:tc>
          <w:tcPr>
            <w:tcW w:w="101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三级指标</w:t>
            </w:r>
          </w:p>
        </w:tc>
        <w:tc>
          <w:tcPr>
            <w:tcW w:w="84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分值</w:t>
            </w:r>
          </w:p>
        </w:tc>
        <w:tc>
          <w:tcPr>
            <w:tcW w:w="79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预期指标值</w:t>
            </w:r>
          </w:p>
        </w:tc>
        <w:tc>
          <w:tcPr>
            <w:tcW w:w="85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实际完成指标值</w:t>
            </w:r>
          </w:p>
        </w:tc>
        <w:tc>
          <w:tcPr>
            <w:tcW w:w="1123"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得分</w:t>
            </w:r>
          </w:p>
        </w:tc>
        <w:tc>
          <w:tcPr>
            <w:tcW w:w="191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未完成原因及拟采取的改进措施</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1326" w:hRule="atLeast"/>
          <w:jc w:val="center"/>
        </w:trPr>
        <w:tc>
          <w:tcPr>
            <w:tcW w:w="723" w:type="dxa"/>
            <w:vMerge w:val="restart"/>
            <w:tcBorders>
              <w:top w:val="single" w:color="000000" w:sz="2" w:space="0"/>
              <w:left w:val="inset" w:color="000000" w:sz="6" w:space="0"/>
              <w:bottom w:val="nil"/>
              <w:right w:val="inset" w:color="000000" w:sz="6" w:space="0"/>
            </w:tcBorders>
            <w:vAlign w:val="center"/>
          </w:tcPr>
          <w:p>
            <w:pPr>
              <w:pStyle w:val="21"/>
              <w:autoSpaceDN w:val="0"/>
              <w:jc w:val="both"/>
              <w:rPr>
                <w:sz w:val="21"/>
                <w:szCs w:val="21"/>
              </w:rPr>
            </w:pPr>
            <w:r>
              <w:rPr>
                <w:sz w:val="21"/>
                <w:szCs w:val="21"/>
              </w:rPr>
              <w:t> </w:t>
            </w:r>
          </w:p>
        </w:tc>
        <w:tc>
          <w:tcPr>
            <w:tcW w:w="570" w:type="dxa"/>
            <w:vMerge w:val="restart"/>
            <w:tcBorders>
              <w:top w:val="single" w:color="000000" w:sz="2" w:space="0"/>
              <w:left w:val="single" w:color="000000" w:sz="2" w:space="0"/>
              <w:bottom w:val="nil"/>
              <w:right w:val="inset" w:color="000000" w:sz="6" w:space="0"/>
            </w:tcBorders>
            <w:vAlign w:val="center"/>
          </w:tcPr>
          <w:p>
            <w:pPr>
              <w:pStyle w:val="21"/>
              <w:autoSpaceDN w:val="0"/>
              <w:jc w:val="both"/>
              <w:rPr>
                <w:sz w:val="21"/>
                <w:szCs w:val="21"/>
              </w:rPr>
            </w:pPr>
            <w:r>
              <w:rPr>
                <w:b/>
                <w:bCs/>
                <w:sz w:val="21"/>
                <w:szCs w:val="21"/>
              </w:rPr>
              <w:t>产出指标</w:t>
            </w:r>
            <w:r>
              <w:rPr>
                <w:sz w:val="21"/>
                <w:szCs w:val="21"/>
              </w:rPr>
              <w:t> </w:t>
            </w:r>
            <w:r>
              <w:rPr>
                <w:b/>
                <w:bCs/>
                <w:sz w:val="21"/>
                <w:szCs w:val="21"/>
              </w:rPr>
              <w:t>(50</w:t>
            </w:r>
            <w:r>
              <w:rPr>
                <w:rFonts w:hint="eastAsia" w:ascii="宋体" w:hAnsi="宋体"/>
                <w:b/>
                <w:bCs/>
                <w:sz w:val="21"/>
                <w:szCs w:val="21"/>
              </w:rPr>
              <w:t>分</w:t>
            </w:r>
            <w:r>
              <w:rPr>
                <w:b/>
                <w:bCs/>
                <w:sz w:val="21"/>
                <w:szCs w:val="21"/>
              </w:rPr>
              <w:t>)</w:t>
            </w:r>
          </w:p>
        </w:tc>
        <w:tc>
          <w:tcPr>
            <w:tcW w:w="463" w:type="dxa"/>
            <w:tcBorders>
              <w:top w:val="single" w:color="000000" w:sz="2" w:space="0"/>
              <w:left w:val="single" w:color="000000" w:sz="2" w:space="0"/>
              <w:bottom w:val="nil"/>
              <w:right w:val="inset" w:color="000000" w:sz="6" w:space="0"/>
            </w:tcBorders>
            <w:vAlign w:val="center"/>
          </w:tcPr>
          <w:p>
            <w:pPr>
              <w:pStyle w:val="21"/>
              <w:autoSpaceDN w:val="0"/>
              <w:jc w:val="both"/>
            </w:pPr>
            <w:r>
              <w:rPr>
                <w:b/>
                <w:bCs/>
                <w:sz w:val="21"/>
                <w:szCs w:val="21"/>
              </w:rPr>
              <w:t>数量指标</w:t>
            </w:r>
          </w:p>
          <w:p>
            <w:pPr>
              <w:pStyle w:val="21"/>
              <w:autoSpaceDN w:val="0"/>
              <w:jc w:val="both"/>
              <w:rPr>
                <w:sz w:val="21"/>
                <w:szCs w:val="21"/>
              </w:rPr>
            </w:pPr>
            <w:r>
              <w:rPr>
                <w:sz w:val="21"/>
                <w:szCs w:val="21"/>
              </w:rPr>
              <w:t> </w:t>
            </w:r>
          </w:p>
        </w:tc>
        <w:tc>
          <w:tcPr>
            <w:tcW w:w="1017" w:type="dxa"/>
            <w:tcBorders>
              <w:top w:val="inset" w:color="000000" w:sz="6" w:space="0"/>
              <w:left w:val="single" w:color="000000" w:sz="2" w:space="0"/>
              <w:bottom w:val="nil"/>
              <w:right w:val="inset" w:color="000000" w:sz="6" w:space="0"/>
            </w:tcBorders>
            <w:vAlign w:val="center"/>
          </w:tcPr>
          <w:p>
            <w:pPr>
              <w:pStyle w:val="21"/>
              <w:autoSpaceDN w:val="0"/>
              <w:jc w:val="both"/>
            </w:pPr>
            <w:r>
              <w:rPr>
                <w:rFonts w:hint="eastAsia" w:ascii="宋体" w:hAnsi="宋体"/>
                <w:sz w:val="21"/>
                <w:szCs w:val="21"/>
              </w:rPr>
              <w:t>完成编制实施方案数量</w:t>
            </w:r>
          </w:p>
          <w:p>
            <w:pPr>
              <w:pStyle w:val="21"/>
              <w:autoSpaceDN w:val="0"/>
              <w:jc w:val="both"/>
              <w:rPr>
                <w:sz w:val="21"/>
                <w:szCs w:val="21"/>
              </w:rPr>
            </w:pPr>
            <w:r>
              <w:rPr>
                <w:sz w:val="21"/>
                <w:szCs w:val="21"/>
              </w:rPr>
              <w:t> </w:t>
            </w:r>
          </w:p>
        </w:tc>
        <w:tc>
          <w:tcPr>
            <w:tcW w:w="842" w:type="dxa"/>
            <w:tcBorders>
              <w:top w:val="inset" w:color="000000" w:sz="6" w:space="0"/>
              <w:left w:val="single" w:color="000000" w:sz="2" w:space="0"/>
              <w:bottom w:val="nil"/>
              <w:right w:val="inset" w:color="000000" w:sz="6" w:space="0"/>
            </w:tcBorders>
            <w:vAlign w:val="center"/>
          </w:tcPr>
          <w:p>
            <w:pPr>
              <w:pStyle w:val="21"/>
              <w:autoSpaceDN w:val="0"/>
              <w:jc w:val="both"/>
            </w:pPr>
            <w:r>
              <w:rPr>
                <w:rFonts w:hint="eastAsia" w:ascii="宋体" w:hAnsi="宋体"/>
                <w:sz w:val="21"/>
                <w:szCs w:val="21"/>
              </w:rPr>
              <w:t>10</w:t>
            </w:r>
          </w:p>
          <w:p>
            <w:pPr>
              <w:pStyle w:val="21"/>
              <w:autoSpaceDN w:val="0"/>
              <w:jc w:val="both"/>
              <w:rPr>
                <w:sz w:val="21"/>
                <w:szCs w:val="21"/>
              </w:rPr>
            </w:pPr>
            <w:r>
              <w:rPr>
                <w:rFonts w:hint="eastAsia" w:ascii="宋体" w:hAnsi="宋体"/>
                <w:sz w:val="21"/>
                <w:szCs w:val="21"/>
              </w:rPr>
              <w:t> </w:t>
            </w:r>
          </w:p>
        </w:tc>
        <w:tc>
          <w:tcPr>
            <w:tcW w:w="798" w:type="dxa"/>
            <w:tcBorders>
              <w:top w:val="inset" w:color="000000" w:sz="6" w:space="0"/>
              <w:left w:val="single" w:color="000000" w:sz="2" w:space="0"/>
              <w:bottom w:val="nil"/>
              <w:right w:val="inset" w:color="000000" w:sz="6" w:space="0"/>
            </w:tcBorders>
            <w:vAlign w:val="center"/>
          </w:tcPr>
          <w:p>
            <w:pPr>
              <w:pStyle w:val="21"/>
              <w:autoSpaceDN w:val="0"/>
              <w:jc w:val="both"/>
            </w:pPr>
            <w:r>
              <w:rPr>
                <w:rFonts w:hint="eastAsia" w:ascii="宋体" w:hAnsi="宋体"/>
                <w:sz w:val="21"/>
                <w:szCs w:val="21"/>
              </w:rPr>
              <w:t>1套</w:t>
            </w:r>
          </w:p>
          <w:p>
            <w:pPr>
              <w:pStyle w:val="21"/>
              <w:autoSpaceDN w:val="0"/>
              <w:jc w:val="both"/>
              <w:rPr>
                <w:sz w:val="21"/>
                <w:szCs w:val="21"/>
              </w:rPr>
            </w:pPr>
            <w:r>
              <w:rPr>
                <w:sz w:val="21"/>
                <w:szCs w:val="21"/>
              </w:rPr>
              <w:t> </w:t>
            </w:r>
          </w:p>
        </w:tc>
        <w:tc>
          <w:tcPr>
            <w:tcW w:w="850" w:type="dxa"/>
            <w:gridSpan w:val="2"/>
            <w:tcBorders>
              <w:top w:val="inset" w:color="000000" w:sz="6" w:space="0"/>
              <w:left w:val="single" w:color="000000" w:sz="2" w:space="0"/>
              <w:bottom w:val="nil"/>
              <w:right w:val="inset" w:color="000000" w:sz="6" w:space="0"/>
            </w:tcBorders>
            <w:vAlign w:val="center"/>
          </w:tcPr>
          <w:p>
            <w:pPr>
              <w:pStyle w:val="21"/>
              <w:autoSpaceDN w:val="0"/>
              <w:jc w:val="both"/>
            </w:pPr>
            <w:r>
              <w:rPr>
                <w:rFonts w:hint="eastAsia" w:ascii="宋体" w:hAnsi="宋体"/>
                <w:sz w:val="21"/>
                <w:szCs w:val="21"/>
              </w:rPr>
              <w:t>1套</w:t>
            </w:r>
          </w:p>
          <w:p>
            <w:pPr>
              <w:pStyle w:val="21"/>
              <w:autoSpaceDN w:val="0"/>
              <w:jc w:val="both"/>
              <w:rPr>
                <w:sz w:val="21"/>
                <w:szCs w:val="21"/>
              </w:rPr>
            </w:pPr>
            <w:r>
              <w:rPr>
                <w:sz w:val="21"/>
                <w:szCs w:val="21"/>
              </w:rPr>
              <w:t> </w:t>
            </w:r>
          </w:p>
        </w:tc>
        <w:tc>
          <w:tcPr>
            <w:tcW w:w="1123" w:type="dxa"/>
            <w:gridSpan w:val="2"/>
            <w:tcBorders>
              <w:top w:val="inset" w:color="000000" w:sz="6" w:space="0"/>
              <w:left w:val="single" w:color="000000" w:sz="2" w:space="0"/>
              <w:bottom w:val="nil"/>
              <w:right w:val="inset" w:color="000000" w:sz="6" w:space="0"/>
            </w:tcBorders>
            <w:vAlign w:val="center"/>
          </w:tcPr>
          <w:p>
            <w:pPr>
              <w:pStyle w:val="21"/>
              <w:autoSpaceDN w:val="0"/>
              <w:jc w:val="both"/>
            </w:pPr>
            <w:r>
              <w:rPr>
                <w:rFonts w:hint="eastAsia" w:ascii="宋体" w:hAnsi="宋体"/>
                <w:sz w:val="21"/>
                <w:szCs w:val="21"/>
              </w:rPr>
              <w:t>10</w:t>
            </w:r>
          </w:p>
          <w:p>
            <w:pPr>
              <w:pStyle w:val="21"/>
              <w:autoSpaceDN w:val="0"/>
              <w:jc w:val="both"/>
              <w:rPr>
                <w:sz w:val="21"/>
                <w:szCs w:val="21"/>
              </w:rPr>
            </w:pPr>
            <w:r>
              <w:rPr>
                <w:sz w:val="21"/>
                <w:szCs w:val="21"/>
              </w:rPr>
              <w:t> </w:t>
            </w:r>
          </w:p>
        </w:tc>
        <w:tc>
          <w:tcPr>
            <w:tcW w:w="191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pPr>
            <w:r>
              <w:rPr>
                <w:sz w:val="21"/>
                <w:szCs w:val="21"/>
              </w:rPr>
              <w:t> </w:t>
            </w:r>
          </w:p>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1326" w:hRule="atLeast"/>
          <w:jc w:val="center"/>
        </w:trPr>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463" w:type="dxa"/>
            <w:tcBorders>
              <w:top w:val="single" w:color="000000" w:sz="2" w:space="0"/>
              <w:left w:val="single" w:color="000000" w:sz="2" w:space="0"/>
              <w:bottom w:val="nil"/>
              <w:right w:val="inset" w:color="000000" w:sz="6" w:space="0"/>
            </w:tcBorders>
            <w:vAlign w:val="center"/>
          </w:tcPr>
          <w:p>
            <w:pPr>
              <w:pStyle w:val="21"/>
              <w:autoSpaceDN w:val="0"/>
              <w:jc w:val="both"/>
            </w:pPr>
            <w:r>
              <w:rPr>
                <w:b/>
                <w:bCs/>
                <w:sz w:val="21"/>
                <w:szCs w:val="21"/>
              </w:rPr>
              <w:t>质量指标</w:t>
            </w:r>
          </w:p>
          <w:p>
            <w:pPr>
              <w:pStyle w:val="21"/>
              <w:autoSpaceDN w:val="0"/>
              <w:jc w:val="both"/>
              <w:rPr>
                <w:sz w:val="21"/>
                <w:szCs w:val="21"/>
              </w:rPr>
            </w:pPr>
            <w:r>
              <w:rPr>
                <w:sz w:val="21"/>
                <w:szCs w:val="21"/>
              </w:rPr>
              <w:t> </w:t>
            </w:r>
          </w:p>
        </w:tc>
        <w:tc>
          <w:tcPr>
            <w:tcW w:w="1017" w:type="dxa"/>
            <w:tcBorders>
              <w:top w:val="inset" w:color="000000" w:sz="6" w:space="0"/>
              <w:left w:val="single" w:color="000000" w:sz="2" w:space="0"/>
              <w:bottom w:val="nil"/>
              <w:right w:val="inset" w:color="000000" w:sz="6" w:space="0"/>
            </w:tcBorders>
            <w:vAlign w:val="center"/>
          </w:tcPr>
          <w:p>
            <w:pPr>
              <w:pStyle w:val="21"/>
              <w:autoSpaceDN w:val="0"/>
              <w:jc w:val="both"/>
            </w:pPr>
            <w:r>
              <w:rPr>
                <w:rFonts w:hint="eastAsia" w:ascii="宋体" w:hAnsi="宋体"/>
                <w:sz w:val="21"/>
                <w:szCs w:val="21"/>
              </w:rPr>
              <w:t>实施方案审查通过率</w:t>
            </w:r>
          </w:p>
          <w:p>
            <w:pPr>
              <w:pStyle w:val="21"/>
              <w:autoSpaceDN w:val="0"/>
              <w:jc w:val="both"/>
              <w:rPr>
                <w:sz w:val="21"/>
                <w:szCs w:val="21"/>
              </w:rPr>
            </w:pPr>
            <w:r>
              <w:rPr>
                <w:rFonts w:hint="eastAsia" w:ascii="宋体" w:hAnsi="宋体"/>
                <w:sz w:val="21"/>
                <w:szCs w:val="21"/>
              </w:rPr>
              <w:t> </w:t>
            </w:r>
          </w:p>
        </w:tc>
        <w:tc>
          <w:tcPr>
            <w:tcW w:w="842" w:type="dxa"/>
            <w:tcBorders>
              <w:top w:val="inset" w:color="000000" w:sz="6" w:space="0"/>
              <w:left w:val="single" w:color="000000" w:sz="2" w:space="0"/>
              <w:bottom w:val="nil"/>
              <w:right w:val="inset" w:color="000000" w:sz="6" w:space="0"/>
            </w:tcBorders>
            <w:vAlign w:val="center"/>
          </w:tcPr>
          <w:p>
            <w:pPr>
              <w:pStyle w:val="21"/>
              <w:autoSpaceDN w:val="0"/>
              <w:jc w:val="both"/>
            </w:pPr>
            <w:r>
              <w:rPr>
                <w:rFonts w:hint="eastAsia" w:ascii="宋体" w:hAnsi="宋体"/>
                <w:sz w:val="21"/>
                <w:szCs w:val="21"/>
              </w:rPr>
              <w:t>15</w:t>
            </w:r>
          </w:p>
          <w:p>
            <w:pPr>
              <w:pStyle w:val="21"/>
              <w:autoSpaceDN w:val="0"/>
              <w:jc w:val="both"/>
              <w:rPr>
                <w:sz w:val="21"/>
                <w:szCs w:val="21"/>
              </w:rPr>
            </w:pPr>
            <w:r>
              <w:rPr>
                <w:sz w:val="21"/>
                <w:szCs w:val="21"/>
              </w:rPr>
              <w:t> </w:t>
            </w:r>
          </w:p>
        </w:tc>
        <w:tc>
          <w:tcPr>
            <w:tcW w:w="798" w:type="dxa"/>
            <w:tcBorders>
              <w:top w:val="inset" w:color="000000" w:sz="6" w:space="0"/>
              <w:left w:val="single" w:color="000000" w:sz="2" w:space="0"/>
              <w:bottom w:val="nil"/>
              <w:right w:val="inset" w:color="000000" w:sz="6" w:space="0"/>
            </w:tcBorders>
            <w:vAlign w:val="center"/>
          </w:tcPr>
          <w:p>
            <w:pPr>
              <w:pStyle w:val="21"/>
              <w:autoSpaceDN w:val="0"/>
              <w:jc w:val="both"/>
            </w:pPr>
            <w:r>
              <w:rPr>
                <w:rFonts w:hint="eastAsia" w:ascii="宋体" w:hAnsi="宋体"/>
                <w:sz w:val="21"/>
                <w:szCs w:val="21"/>
              </w:rPr>
              <w:t>100%</w:t>
            </w:r>
          </w:p>
          <w:p>
            <w:pPr>
              <w:pStyle w:val="21"/>
              <w:autoSpaceDN w:val="0"/>
              <w:jc w:val="both"/>
              <w:rPr>
                <w:sz w:val="21"/>
                <w:szCs w:val="21"/>
              </w:rPr>
            </w:pPr>
            <w:r>
              <w:rPr>
                <w:sz w:val="21"/>
                <w:szCs w:val="21"/>
              </w:rPr>
              <w:t> </w:t>
            </w:r>
          </w:p>
        </w:tc>
        <w:tc>
          <w:tcPr>
            <w:tcW w:w="850" w:type="dxa"/>
            <w:gridSpan w:val="2"/>
            <w:tcBorders>
              <w:top w:val="inset" w:color="000000" w:sz="6" w:space="0"/>
              <w:left w:val="single" w:color="000000" w:sz="2" w:space="0"/>
              <w:bottom w:val="nil"/>
              <w:right w:val="inset" w:color="000000" w:sz="6" w:space="0"/>
            </w:tcBorders>
            <w:vAlign w:val="center"/>
          </w:tcPr>
          <w:p>
            <w:pPr>
              <w:pStyle w:val="21"/>
              <w:autoSpaceDN w:val="0"/>
              <w:jc w:val="both"/>
            </w:pPr>
            <w:r>
              <w:rPr>
                <w:rFonts w:hint="eastAsia" w:ascii="宋体" w:hAnsi="宋体"/>
                <w:sz w:val="21"/>
                <w:szCs w:val="21"/>
              </w:rPr>
              <w:t>100%</w:t>
            </w:r>
          </w:p>
          <w:p>
            <w:pPr>
              <w:pStyle w:val="21"/>
              <w:autoSpaceDN w:val="0"/>
              <w:jc w:val="both"/>
              <w:rPr>
                <w:sz w:val="21"/>
                <w:szCs w:val="21"/>
              </w:rPr>
            </w:pPr>
            <w:r>
              <w:rPr>
                <w:sz w:val="21"/>
                <w:szCs w:val="21"/>
              </w:rPr>
              <w:t> </w:t>
            </w:r>
          </w:p>
        </w:tc>
        <w:tc>
          <w:tcPr>
            <w:tcW w:w="1123" w:type="dxa"/>
            <w:gridSpan w:val="2"/>
            <w:tcBorders>
              <w:top w:val="inset" w:color="000000" w:sz="6" w:space="0"/>
              <w:left w:val="single" w:color="000000" w:sz="2" w:space="0"/>
              <w:bottom w:val="nil"/>
              <w:right w:val="inset" w:color="000000" w:sz="6" w:space="0"/>
            </w:tcBorders>
            <w:vAlign w:val="center"/>
          </w:tcPr>
          <w:p>
            <w:pPr>
              <w:pStyle w:val="21"/>
              <w:autoSpaceDN w:val="0"/>
              <w:jc w:val="both"/>
            </w:pPr>
            <w:r>
              <w:rPr>
                <w:rFonts w:hint="eastAsia" w:ascii="宋体" w:hAnsi="宋体"/>
                <w:sz w:val="21"/>
                <w:szCs w:val="21"/>
              </w:rPr>
              <w:t>15</w:t>
            </w:r>
          </w:p>
          <w:p>
            <w:pPr>
              <w:pStyle w:val="21"/>
              <w:autoSpaceDN w:val="0"/>
              <w:jc w:val="both"/>
              <w:rPr>
                <w:sz w:val="21"/>
                <w:szCs w:val="21"/>
              </w:rPr>
            </w:pPr>
            <w:r>
              <w:rPr>
                <w:sz w:val="21"/>
                <w:szCs w:val="21"/>
              </w:rPr>
              <w:t> </w:t>
            </w:r>
          </w:p>
        </w:tc>
        <w:tc>
          <w:tcPr>
            <w:tcW w:w="191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pPr>
            <w:r>
              <w:rPr>
                <w:sz w:val="21"/>
                <w:szCs w:val="21"/>
              </w:rPr>
              <w:t> </w:t>
            </w:r>
          </w:p>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1269" w:hRule="atLeast"/>
          <w:jc w:val="center"/>
        </w:trPr>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463" w:type="dxa"/>
            <w:tcBorders>
              <w:top w:val="single" w:color="000000" w:sz="2" w:space="0"/>
              <w:left w:val="single" w:color="000000" w:sz="2" w:space="0"/>
              <w:bottom w:val="single" w:color="000000" w:sz="4" w:space="0"/>
              <w:right w:val="inset" w:color="000000" w:sz="6" w:space="0"/>
            </w:tcBorders>
            <w:vAlign w:val="center"/>
          </w:tcPr>
          <w:p>
            <w:pPr>
              <w:pStyle w:val="21"/>
              <w:autoSpaceDN w:val="0"/>
              <w:jc w:val="both"/>
            </w:pPr>
            <w:r>
              <w:rPr>
                <w:b/>
                <w:bCs/>
                <w:sz w:val="21"/>
                <w:szCs w:val="21"/>
              </w:rPr>
              <w:t>时效指标</w:t>
            </w:r>
          </w:p>
          <w:p>
            <w:pPr>
              <w:pStyle w:val="21"/>
              <w:autoSpaceDN w:val="0"/>
              <w:jc w:val="both"/>
              <w:rPr>
                <w:sz w:val="21"/>
                <w:szCs w:val="21"/>
              </w:rPr>
            </w:pPr>
            <w:r>
              <w:rPr>
                <w:sz w:val="21"/>
                <w:szCs w:val="21"/>
              </w:rPr>
              <w:t> </w:t>
            </w:r>
          </w:p>
        </w:tc>
        <w:tc>
          <w:tcPr>
            <w:tcW w:w="1017" w:type="dxa"/>
            <w:tcBorders>
              <w:top w:val="inset" w:color="000000" w:sz="6" w:space="0"/>
              <w:left w:val="single" w:color="000000" w:sz="2" w:space="0"/>
              <w:bottom w:val="single" w:color="000000" w:sz="4" w:space="0"/>
              <w:right w:val="inset" w:color="000000" w:sz="6" w:space="0"/>
            </w:tcBorders>
            <w:vAlign w:val="center"/>
          </w:tcPr>
          <w:p>
            <w:pPr>
              <w:pStyle w:val="21"/>
              <w:autoSpaceDN w:val="0"/>
              <w:jc w:val="both"/>
            </w:pPr>
            <w:r>
              <w:rPr>
                <w:rFonts w:hint="eastAsia" w:ascii="宋体" w:hAnsi="宋体"/>
                <w:sz w:val="21"/>
                <w:szCs w:val="21"/>
              </w:rPr>
              <w:t>2020年</w:t>
            </w:r>
            <w:r>
              <w:rPr>
                <w:sz w:val="21"/>
                <w:szCs w:val="21"/>
              </w:rPr>
              <w:t>11</w:t>
            </w:r>
            <w:r>
              <w:rPr>
                <w:rFonts w:hint="eastAsia" w:ascii="宋体" w:hAnsi="宋体"/>
                <w:sz w:val="21"/>
                <w:szCs w:val="21"/>
              </w:rPr>
              <w:t>月</w:t>
            </w:r>
            <w:r>
              <w:rPr>
                <w:sz w:val="21"/>
                <w:szCs w:val="21"/>
              </w:rPr>
              <w:t>23</w:t>
            </w:r>
            <w:r>
              <w:rPr>
                <w:rFonts w:hint="eastAsia" w:ascii="宋体" w:hAnsi="宋体"/>
                <w:sz w:val="21"/>
                <w:szCs w:val="21"/>
              </w:rPr>
              <w:t>日前完成</w:t>
            </w:r>
          </w:p>
          <w:p>
            <w:pPr>
              <w:pStyle w:val="21"/>
              <w:autoSpaceDN w:val="0"/>
              <w:jc w:val="both"/>
              <w:rPr>
                <w:sz w:val="21"/>
                <w:szCs w:val="21"/>
              </w:rPr>
            </w:pPr>
            <w:r>
              <w:rPr>
                <w:rFonts w:hint="eastAsia" w:ascii="宋体" w:hAnsi="宋体"/>
                <w:sz w:val="21"/>
                <w:szCs w:val="21"/>
              </w:rPr>
              <w:t> </w:t>
            </w:r>
          </w:p>
        </w:tc>
        <w:tc>
          <w:tcPr>
            <w:tcW w:w="842" w:type="dxa"/>
            <w:tcBorders>
              <w:top w:val="inset" w:color="000000" w:sz="6" w:space="0"/>
              <w:left w:val="single" w:color="000000" w:sz="2" w:space="0"/>
              <w:bottom w:val="single" w:color="000000" w:sz="4" w:space="0"/>
              <w:right w:val="inset" w:color="000000" w:sz="6" w:space="0"/>
            </w:tcBorders>
            <w:vAlign w:val="center"/>
          </w:tcPr>
          <w:p>
            <w:pPr>
              <w:pStyle w:val="21"/>
              <w:autoSpaceDN w:val="0"/>
              <w:jc w:val="both"/>
            </w:pPr>
            <w:r>
              <w:rPr>
                <w:rFonts w:hint="eastAsia" w:ascii="宋体" w:hAnsi="宋体"/>
                <w:sz w:val="21"/>
                <w:szCs w:val="21"/>
              </w:rPr>
              <w:t>15</w:t>
            </w:r>
          </w:p>
          <w:p>
            <w:pPr>
              <w:pStyle w:val="21"/>
              <w:autoSpaceDN w:val="0"/>
              <w:jc w:val="both"/>
              <w:rPr>
                <w:sz w:val="21"/>
                <w:szCs w:val="21"/>
              </w:rPr>
            </w:pPr>
            <w:r>
              <w:rPr>
                <w:rFonts w:hint="eastAsia" w:ascii="宋体" w:hAnsi="宋体"/>
                <w:sz w:val="21"/>
                <w:szCs w:val="21"/>
              </w:rPr>
              <w:t> </w:t>
            </w:r>
          </w:p>
        </w:tc>
        <w:tc>
          <w:tcPr>
            <w:tcW w:w="798" w:type="dxa"/>
            <w:tcBorders>
              <w:top w:val="inset" w:color="000000" w:sz="6" w:space="0"/>
              <w:left w:val="single" w:color="000000" w:sz="2" w:space="0"/>
              <w:bottom w:val="single" w:color="000000" w:sz="4" w:space="0"/>
              <w:right w:val="inset" w:color="000000" w:sz="6" w:space="0"/>
            </w:tcBorders>
            <w:vAlign w:val="center"/>
          </w:tcPr>
          <w:p>
            <w:pPr>
              <w:pStyle w:val="21"/>
              <w:autoSpaceDN w:val="0"/>
              <w:jc w:val="both"/>
            </w:pPr>
            <w:r>
              <w:rPr>
                <w:rFonts w:hint="eastAsia" w:ascii="宋体" w:hAnsi="宋体"/>
                <w:sz w:val="21"/>
                <w:szCs w:val="21"/>
              </w:rPr>
              <w:t>2020年</w:t>
            </w:r>
            <w:r>
              <w:rPr>
                <w:sz w:val="21"/>
                <w:szCs w:val="21"/>
              </w:rPr>
              <w:t>11</w:t>
            </w:r>
            <w:r>
              <w:rPr>
                <w:rFonts w:hint="eastAsia" w:ascii="宋体" w:hAnsi="宋体"/>
                <w:sz w:val="21"/>
                <w:szCs w:val="21"/>
              </w:rPr>
              <w:t>月</w:t>
            </w:r>
            <w:r>
              <w:rPr>
                <w:sz w:val="21"/>
                <w:szCs w:val="21"/>
              </w:rPr>
              <w:t>23</w:t>
            </w:r>
            <w:r>
              <w:rPr>
                <w:rFonts w:hint="eastAsia" w:ascii="宋体" w:hAnsi="宋体"/>
                <w:sz w:val="21"/>
                <w:szCs w:val="21"/>
              </w:rPr>
              <w:t>日前完成</w:t>
            </w:r>
          </w:p>
          <w:p>
            <w:pPr>
              <w:pStyle w:val="21"/>
              <w:autoSpaceDN w:val="0"/>
              <w:jc w:val="both"/>
              <w:rPr>
                <w:sz w:val="21"/>
                <w:szCs w:val="21"/>
              </w:rPr>
            </w:pPr>
            <w:r>
              <w:rPr>
                <w:sz w:val="21"/>
                <w:szCs w:val="21"/>
              </w:rPr>
              <w:t> </w:t>
            </w:r>
          </w:p>
        </w:tc>
        <w:tc>
          <w:tcPr>
            <w:tcW w:w="850" w:type="dxa"/>
            <w:gridSpan w:val="2"/>
            <w:tcBorders>
              <w:top w:val="inset" w:color="000000" w:sz="6" w:space="0"/>
              <w:left w:val="single" w:color="000000" w:sz="2" w:space="0"/>
              <w:bottom w:val="single" w:color="000000" w:sz="4" w:space="0"/>
              <w:right w:val="inset" w:color="000000" w:sz="6" w:space="0"/>
            </w:tcBorders>
            <w:vAlign w:val="center"/>
          </w:tcPr>
          <w:p>
            <w:pPr>
              <w:pStyle w:val="21"/>
              <w:autoSpaceDN w:val="0"/>
              <w:jc w:val="both"/>
            </w:pPr>
            <w:r>
              <w:rPr>
                <w:rFonts w:hint="eastAsia" w:ascii="宋体" w:hAnsi="宋体"/>
                <w:sz w:val="21"/>
                <w:szCs w:val="21"/>
              </w:rPr>
              <w:t>2020年</w:t>
            </w:r>
            <w:r>
              <w:rPr>
                <w:sz w:val="21"/>
                <w:szCs w:val="21"/>
              </w:rPr>
              <w:t>11</w:t>
            </w:r>
            <w:r>
              <w:rPr>
                <w:rFonts w:hint="eastAsia" w:ascii="宋体" w:hAnsi="宋体"/>
                <w:sz w:val="21"/>
                <w:szCs w:val="21"/>
              </w:rPr>
              <w:t>月</w:t>
            </w:r>
            <w:r>
              <w:rPr>
                <w:sz w:val="21"/>
                <w:szCs w:val="21"/>
              </w:rPr>
              <w:t>23</w:t>
            </w:r>
            <w:r>
              <w:rPr>
                <w:rFonts w:hint="eastAsia" w:ascii="宋体" w:hAnsi="宋体"/>
                <w:sz w:val="21"/>
                <w:szCs w:val="21"/>
              </w:rPr>
              <w:t>日前完成</w:t>
            </w:r>
          </w:p>
          <w:p>
            <w:pPr>
              <w:pStyle w:val="21"/>
              <w:autoSpaceDN w:val="0"/>
              <w:jc w:val="both"/>
              <w:rPr>
                <w:sz w:val="21"/>
                <w:szCs w:val="21"/>
              </w:rPr>
            </w:pPr>
            <w:r>
              <w:rPr>
                <w:sz w:val="21"/>
                <w:szCs w:val="21"/>
              </w:rPr>
              <w:t> </w:t>
            </w:r>
          </w:p>
        </w:tc>
        <w:tc>
          <w:tcPr>
            <w:tcW w:w="1123" w:type="dxa"/>
            <w:gridSpan w:val="2"/>
            <w:tcBorders>
              <w:top w:val="inset" w:color="000000" w:sz="6" w:space="0"/>
              <w:left w:val="single" w:color="000000" w:sz="2" w:space="0"/>
              <w:bottom w:val="single" w:color="000000" w:sz="4" w:space="0"/>
              <w:right w:val="inset" w:color="000000" w:sz="6" w:space="0"/>
            </w:tcBorders>
            <w:vAlign w:val="center"/>
          </w:tcPr>
          <w:p>
            <w:pPr>
              <w:pStyle w:val="21"/>
              <w:autoSpaceDN w:val="0"/>
              <w:jc w:val="both"/>
            </w:pPr>
            <w:r>
              <w:rPr>
                <w:rFonts w:hint="eastAsia" w:ascii="宋体" w:hAnsi="宋体"/>
                <w:sz w:val="21"/>
                <w:szCs w:val="21"/>
              </w:rPr>
              <w:t>15</w:t>
            </w:r>
          </w:p>
          <w:p>
            <w:pPr>
              <w:pStyle w:val="21"/>
              <w:autoSpaceDN w:val="0"/>
              <w:jc w:val="both"/>
              <w:rPr>
                <w:sz w:val="21"/>
                <w:szCs w:val="21"/>
              </w:rPr>
            </w:pPr>
            <w:r>
              <w:rPr>
                <w:sz w:val="21"/>
                <w:szCs w:val="21"/>
              </w:rPr>
              <w:t> </w:t>
            </w:r>
          </w:p>
        </w:tc>
        <w:tc>
          <w:tcPr>
            <w:tcW w:w="191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pPr>
            <w:r>
              <w:rPr>
                <w:sz w:val="21"/>
                <w:szCs w:val="21"/>
              </w:rPr>
              <w:t> </w:t>
            </w:r>
          </w:p>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567" w:hRule="atLeast"/>
          <w:jc w:val="center"/>
        </w:trPr>
        <w:tc>
          <w:tcPr>
            <w:tcW w:w="0" w:type="auto"/>
            <w:vMerge w:val="continue"/>
            <w:tcBorders>
              <w:top w:val="single" w:color="000000" w:sz="2" w:space="0"/>
              <w:left w:val="inset" w:color="000000" w:sz="6" w:space="0"/>
              <w:bottom w:val="nil"/>
              <w:right w:val="inset" w:color="000000" w:sz="6" w:space="0"/>
            </w:tcBorders>
            <w:vAlign w:val="center"/>
          </w:tcPr>
          <w:p>
            <w:pPr>
              <w:jc w:val="both"/>
              <w:rPr>
                <w:rFonts w:ascii="Times New Roman" w:hAnsi="Times New Roman" w:cs="Times New Roman"/>
                <w:sz w:val="21"/>
                <w:szCs w:val="21"/>
              </w:rPr>
            </w:pPr>
          </w:p>
        </w:tc>
        <w:tc>
          <w:tcPr>
            <w:tcW w:w="0" w:type="auto"/>
            <w:vMerge w:val="continue"/>
            <w:tcBorders>
              <w:top w:val="single" w:color="000000" w:sz="2" w:space="0"/>
              <w:left w:val="single" w:color="000000" w:sz="2" w:space="0"/>
              <w:bottom w:val="nil"/>
              <w:right w:val="inset" w:color="000000" w:sz="6" w:space="0"/>
            </w:tcBorders>
            <w:vAlign w:val="center"/>
          </w:tcPr>
          <w:p>
            <w:pPr>
              <w:jc w:val="both"/>
              <w:rPr>
                <w:rFonts w:ascii="Times New Roman" w:hAnsi="Times New Roman" w:cs="Times New Roman"/>
                <w:sz w:val="21"/>
                <w:szCs w:val="21"/>
              </w:rPr>
            </w:pPr>
          </w:p>
        </w:tc>
        <w:tc>
          <w:tcPr>
            <w:tcW w:w="463" w:type="dxa"/>
            <w:tcBorders>
              <w:top w:val="single" w:color="000000" w:sz="4"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成本指标</w:t>
            </w:r>
          </w:p>
        </w:tc>
        <w:tc>
          <w:tcPr>
            <w:tcW w:w="1017" w:type="dxa"/>
            <w:tcBorders>
              <w:top w:val="single" w:color="000000" w:sz="4"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实际成本完成率</w:t>
            </w:r>
          </w:p>
        </w:tc>
        <w:tc>
          <w:tcPr>
            <w:tcW w:w="842" w:type="dxa"/>
            <w:tcBorders>
              <w:top w:val="single" w:color="000000" w:sz="4"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w:t>
            </w:r>
          </w:p>
        </w:tc>
        <w:tc>
          <w:tcPr>
            <w:tcW w:w="798" w:type="dxa"/>
            <w:tcBorders>
              <w:top w:val="single" w:color="000000" w:sz="4"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100%</w:t>
            </w:r>
            <w:r>
              <w:rPr>
                <w:sz w:val="21"/>
                <w:szCs w:val="21"/>
              </w:rPr>
              <w:t> </w:t>
            </w:r>
          </w:p>
        </w:tc>
        <w:tc>
          <w:tcPr>
            <w:tcW w:w="850" w:type="dxa"/>
            <w:gridSpan w:val="2"/>
            <w:tcBorders>
              <w:top w:val="single" w:color="000000" w:sz="4"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100%</w:t>
            </w:r>
          </w:p>
        </w:tc>
        <w:tc>
          <w:tcPr>
            <w:tcW w:w="1123" w:type="dxa"/>
            <w:gridSpan w:val="2"/>
            <w:tcBorders>
              <w:top w:val="single" w:color="000000" w:sz="4"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10</w:t>
            </w:r>
          </w:p>
        </w:tc>
        <w:tc>
          <w:tcPr>
            <w:tcW w:w="191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723" w:type="dxa"/>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570"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(30</w:t>
            </w:r>
            <w:r>
              <w:rPr>
                <w:rFonts w:hint="eastAsia" w:ascii="宋体" w:hAnsi="宋体"/>
                <w:b/>
                <w:bCs/>
                <w:sz w:val="21"/>
                <w:szCs w:val="21"/>
              </w:rPr>
              <w:t>分</w:t>
            </w:r>
            <w:r>
              <w:rPr>
                <w:b/>
                <w:bCs/>
                <w:sz w:val="21"/>
                <w:szCs w:val="21"/>
              </w:rPr>
              <w:t>)</w:t>
            </w:r>
            <w:r>
              <w:rPr>
                <w:sz w:val="21"/>
                <w:szCs w:val="21"/>
              </w:rPr>
              <w:t> </w:t>
            </w:r>
            <w:r>
              <w:rPr>
                <w:b/>
                <w:bCs/>
                <w:sz w:val="21"/>
                <w:szCs w:val="21"/>
              </w:rPr>
              <w:t>效益指标</w:t>
            </w:r>
          </w:p>
        </w:tc>
        <w:tc>
          <w:tcPr>
            <w:tcW w:w="463"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经济效益指标</w:t>
            </w:r>
          </w:p>
        </w:tc>
        <w:tc>
          <w:tcPr>
            <w:tcW w:w="101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规划年增加水利灌溉效益，促进粮食作物增产（万公斤）</w:t>
            </w:r>
          </w:p>
        </w:tc>
        <w:tc>
          <w:tcPr>
            <w:tcW w:w="84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5</w:t>
            </w:r>
          </w:p>
        </w:tc>
        <w:tc>
          <w:tcPr>
            <w:tcW w:w="79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7000</w:t>
            </w:r>
          </w:p>
        </w:tc>
        <w:tc>
          <w:tcPr>
            <w:tcW w:w="85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7622.79</w:t>
            </w:r>
          </w:p>
        </w:tc>
        <w:tc>
          <w:tcPr>
            <w:tcW w:w="1123"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5</w:t>
            </w:r>
          </w:p>
        </w:tc>
        <w:tc>
          <w:tcPr>
            <w:tcW w:w="191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723" w:type="dxa"/>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570"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463"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社会效益指标</w:t>
            </w:r>
          </w:p>
        </w:tc>
        <w:tc>
          <w:tcPr>
            <w:tcW w:w="101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新增或改造节水灌溉面积（万亩）</w:t>
            </w:r>
          </w:p>
        </w:tc>
        <w:tc>
          <w:tcPr>
            <w:tcW w:w="84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5</w:t>
            </w:r>
            <w:r>
              <w:rPr>
                <w:sz w:val="21"/>
                <w:szCs w:val="21"/>
              </w:rPr>
              <w:t> </w:t>
            </w:r>
          </w:p>
        </w:tc>
        <w:tc>
          <w:tcPr>
            <w:tcW w:w="79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53.03</w:t>
            </w:r>
          </w:p>
        </w:tc>
        <w:tc>
          <w:tcPr>
            <w:tcW w:w="85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53.03</w:t>
            </w:r>
          </w:p>
        </w:tc>
        <w:tc>
          <w:tcPr>
            <w:tcW w:w="1123"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5</w:t>
            </w:r>
          </w:p>
        </w:tc>
        <w:tc>
          <w:tcPr>
            <w:tcW w:w="191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723" w:type="dxa"/>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570"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463"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生态效益指标</w:t>
            </w:r>
          </w:p>
        </w:tc>
        <w:tc>
          <w:tcPr>
            <w:tcW w:w="101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 xml:space="preserve"> 植被覆盖率提升</w:t>
            </w:r>
          </w:p>
        </w:tc>
        <w:tc>
          <w:tcPr>
            <w:tcW w:w="84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79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植被覆盖面积和覆盖度提高</w:t>
            </w:r>
          </w:p>
        </w:tc>
        <w:tc>
          <w:tcPr>
            <w:tcW w:w="85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xml:space="preserve">  </w:t>
            </w:r>
            <w:r>
              <w:rPr>
                <w:rFonts w:hint="eastAsia" w:ascii="宋体" w:hAnsi="宋体"/>
                <w:sz w:val="21"/>
                <w:szCs w:val="21"/>
              </w:rPr>
              <w:t>作物生长季节，区域内农作物覆盖面积和覆盖度大幅提高</w:t>
            </w:r>
          </w:p>
        </w:tc>
        <w:tc>
          <w:tcPr>
            <w:tcW w:w="1123"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191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723" w:type="dxa"/>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570" w:type="dxa"/>
            <w:tcBorders>
              <w:top w:val="single" w:color="000000" w:sz="2"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463"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可持续影响指标</w:t>
            </w:r>
          </w:p>
        </w:tc>
        <w:tc>
          <w:tcPr>
            <w:tcW w:w="101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项目持续发挥作用期限（年）</w:t>
            </w:r>
          </w:p>
        </w:tc>
        <w:tc>
          <w:tcPr>
            <w:tcW w:w="84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79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30</w:t>
            </w:r>
          </w:p>
        </w:tc>
        <w:tc>
          <w:tcPr>
            <w:tcW w:w="85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30</w:t>
            </w:r>
          </w:p>
        </w:tc>
        <w:tc>
          <w:tcPr>
            <w:tcW w:w="1123"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191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723" w:type="dxa"/>
            <w:tcBorders>
              <w:top w:val="single" w:color="000000" w:sz="2" w:space="0"/>
              <w:left w:val="inset" w:color="000000" w:sz="6"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570"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满意度指标(10</w:t>
            </w:r>
            <w:r>
              <w:rPr>
                <w:rFonts w:hint="eastAsia" w:ascii="宋体" w:hAnsi="宋体"/>
                <w:b/>
                <w:bCs/>
                <w:sz w:val="21"/>
                <w:szCs w:val="21"/>
              </w:rPr>
              <w:t>分</w:t>
            </w:r>
            <w:r>
              <w:rPr>
                <w:b/>
                <w:bCs/>
                <w:sz w:val="21"/>
                <w:szCs w:val="21"/>
              </w:rPr>
              <w:t>)</w:t>
            </w:r>
          </w:p>
        </w:tc>
        <w:tc>
          <w:tcPr>
            <w:tcW w:w="463"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服务对象满意度指标</w:t>
            </w:r>
          </w:p>
        </w:tc>
        <w:tc>
          <w:tcPr>
            <w:tcW w:w="101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满意</w:t>
            </w:r>
          </w:p>
        </w:tc>
        <w:tc>
          <w:tcPr>
            <w:tcW w:w="842"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79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≥90</w:t>
            </w:r>
            <w:r>
              <w:rPr>
                <w:rFonts w:hint="eastAsia" w:ascii="宋体" w:hAnsi="宋体"/>
                <w:sz w:val="21"/>
                <w:szCs w:val="21"/>
              </w:rPr>
              <w:t>%</w:t>
            </w:r>
          </w:p>
        </w:tc>
        <w:tc>
          <w:tcPr>
            <w:tcW w:w="850"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sz w:val="21"/>
                <w:szCs w:val="21"/>
              </w:rPr>
              <w:t>95%</w:t>
            </w:r>
          </w:p>
        </w:tc>
        <w:tc>
          <w:tcPr>
            <w:tcW w:w="1123"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r>
              <w:rPr>
                <w:rFonts w:hint="eastAsia" w:ascii="宋体" w:hAnsi="宋体"/>
                <w:sz w:val="21"/>
                <w:szCs w:val="21"/>
              </w:rPr>
              <w:t>10</w:t>
            </w:r>
          </w:p>
        </w:tc>
        <w:tc>
          <w:tcPr>
            <w:tcW w:w="1919"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2776" w:type="dxa"/>
            <w:gridSpan w:val="5"/>
            <w:tcBorders>
              <w:top w:val="inset" w:color="000000" w:sz="6" w:space="0"/>
              <w:left w:val="inset" w:color="000000" w:sz="6" w:space="0"/>
              <w:bottom w:val="inset" w:color="000000" w:sz="6" w:space="0"/>
              <w:right w:val="inset" w:color="000000" w:sz="6" w:space="0"/>
            </w:tcBorders>
            <w:vAlign w:val="center"/>
          </w:tcPr>
          <w:p>
            <w:pPr>
              <w:pStyle w:val="21"/>
              <w:autoSpaceDN w:val="0"/>
              <w:jc w:val="both"/>
              <w:rPr>
                <w:sz w:val="21"/>
                <w:szCs w:val="21"/>
              </w:rPr>
            </w:pPr>
            <w:r>
              <w:rPr>
                <w:b/>
                <w:bCs/>
                <w:sz w:val="21"/>
                <w:szCs w:val="21"/>
              </w:rPr>
              <w:t>总分</w:t>
            </w:r>
          </w:p>
        </w:tc>
        <w:tc>
          <w:tcPr>
            <w:tcW w:w="842"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b/>
                <w:bCs/>
                <w:sz w:val="21"/>
                <w:szCs w:val="21"/>
              </w:rPr>
              <w:t>100</w:t>
            </w:r>
          </w:p>
        </w:tc>
        <w:tc>
          <w:tcPr>
            <w:tcW w:w="798"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017" w:type="dxa"/>
            <w:gridSpan w:val="2"/>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c>
          <w:tcPr>
            <w:tcW w:w="1125" w:type="dxa"/>
            <w:gridSpan w:val="3"/>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rFonts w:hint="eastAsia" w:ascii="宋体" w:hAnsi="宋体"/>
              </w:rPr>
              <w:t>100</w:t>
            </w:r>
          </w:p>
        </w:tc>
        <w:tc>
          <w:tcPr>
            <w:tcW w:w="1747" w:type="dxa"/>
            <w:tcBorders>
              <w:top w:val="inset" w:color="000000" w:sz="6" w:space="0"/>
              <w:left w:val="single" w:color="000000" w:sz="2" w:space="0"/>
              <w:bottom w:val="inset" w:color="000000" w:sz="6" w:space="0"/>
              <w:right w:val="inset" w:color="000000" w:sz="6" w:space="0"/>
            </w:tcBorders>
            <w:vAlign w:val="center"/>
          </w:tcPr>
          <w:p>
            <w:pPr>
              <w:pStyle w:val="21"/>
              <w:autoSpaceDN w:val="0"/>
              <w:jc w:val="both"/>
              <w:rPr>
                <w:sz w:val="21"/>
                <w:szCs w:val="21"/>
              </w:rPr>
            </w:pPr>
            <w:r>
              <w:rPr>
                <w:sz w:val="21"/>
                <w:szCs w:val="21"/>
              </w:rPr>
              <w:t> </w:t>
            </w:r>
          </w:p>
        </w:tc>
      </w:tr>
    </w:tbl>
    <w:p>
      <w:pPr>
        <w:pStyle w:val="21"/>
        <w:autoSpaceDN w:val="0"/>
        <w:jc w:val="both"/>
      </w:pPr>
      <w:r>
        <w:rPr>
          <w:rFonts w:hint="eastAsia" w:ascii="仿宋_GB2312" w:eastAsia="仿宋_GB2312"/>
          <w:sz w:val="21"/>
          <w:szCs w:val="21"/>
        </w:rP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t xml:space="preserve"> </w:t>
      </w:r>
    </w:p>
    <w:p>
      <w:pPr>
        <w:pStyle w:val="21"/>
        <w:autoSpaceDN w:val="0"/>
        <w:jc w:val="both"/>
      </w:pPr>
      <w:r>
        <w:rPr>
          <w:rFonts w:hint="eastAsia" w:ascii="仿宋_GB2312" w:eastAsia="仿宋_GB2312"/>
          <w:sz w:val="21"/>
          <w:szCs w:val="21"/>
        </w:rPr>
        <w:t xml:space="preserve"> </w:t>
      </w:r>
    </w:p>
    <w:tbl>
      <w:tblPr>
        <w:tblStyle w:val="12"/>
        <w:tblW w:w="0" w:type="auto"/>
        <w:jc w:val="center"/>
        <w:tblLayout w:type="autofit"/>
        <w:tblCellMar>
          <w:top w:w="0" w:type="dxa"/>
          <w:left w:w="108" w:type="dxa"/>
          <w:bottom w:w="0" w:type="dxa"/>
          <w:right w:w="108" w:type="dxa"/>
        </w:tblCellMar>
      </w:tblPr>
      <w:tblGrid>
        <w:gridCol w:w="809"/>
        <w:gridCol w:w="149"/>
        <w:gridCol w:w="666"/>
        <w:gridCol w:w="801"/>
        <w:gridCol w:w="890"/>
        <w:gridCol w:w="494"/>
        <w:gridCol w:w="3"/>
        <w:gridCol w:w="1144"/>
        <w:gridCol w:w="752"/>
        <w:gridCol w:w="194"/>
        <w:gridCol w:w="607"/>
        <w:gridCol w:w="181"/>
        <w:gridCol w:w="913"/>
        <w:gridCol w:w="696"/>
        <w:gridCol w:w="223"/>
      </w:tblGrid>
      <w:tr>
        <w:tblPrEx>
          <w:tblCellMar>
            <w:top w:w="0" w:type="dxa"/>
            <w:left w:w="108" w:type="dxa"/>
            <w:bottom w:w="0" w:type="dxa"/>
            <w:right w:w="108" w:type="dxa"/>
          </w:tblCellMar>
        </w:tblPrEx>
        <w:trPr>
          <w:jc w:val="center"/>
        </w:trPr>
        <w:tc>
          <w:tcPr>
            <w:tcW w:w="8305" w:type="dxa"/>
            <w:gridSpan w:val="15"/>
            <w:tcBorders>
              <w:top w:val="single" w:color="000000" w:sz="4" w:space="0"/>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项目支出绩效自评表</w:t>
            </w:r>
          </w:p>
        </w:tc>
      </w:tr>
      <w:tr>
        <w:tblPrEx>
          <w:tblCellMar>
            <w:top w:w="0" w:type="dxa"/>
            <w:left w:w="108" w:type="dxa"/>
            <w:bottom w:w="0" w:type="dxa"/>
            <w:right w:w="108" w:type="dxa"/>
          </w:tblCellMar>
        </w:tblPrEx>
        <w:trPr>
          <w:jc w:val="center"/>
        </w:trPr>
        <w:tc>
          <w:tcPr>
            <w:tcW w:w="8305" w:type="dxa"/>
            <w:gridSpan w:val="15"/>
            <w:tcBorders>
              <w:top w:val="single" w:color="000000" w:sz="4" w:space="0"/>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（2020 年度）</w:t>
            </w:r>
          </w:p>
        </w:tc>
      </w:tr>
      <w:tr>
        <w:tblPrEx>
          <w:tblCellMar>
            <w:top w:w="0" w:type="dxa"/>
            <w:left w:w="108" w:type="dxa"/>
            <w:bottom w:w="0" w:type="dxa"/>
            <w:right w:w="108" w:type="dxa"/>
          </w:tblCellMar>
        </w:tblPrEx>
        <w:trPr>
          <w:trHeight w:val="518" w:hRule="atLeast"/>
          <w:jc w:val="center"/>
        </w:trPr>
        <w:tc>
          <w:tcPr>
            <w:tcW w:w="958" w:type="dxa"/>
            <w:gridSpan w:val="2"/>
            <w:tcBorders>
              <w:top w:val="single" w:color="000000" w:sz="4" w:space="0"/>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项目名称</w:t>
            </w:r>
          </w:p>
        </w:tc>
        <w:tc>
          <w:tcPr>
            <w:tcW w:w="3082" w:type="dxa"/>
            <w:gridSpan w:val="5"/>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取水口核查登记</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项目负责人及电话</w:t>
            </w:r>
          </w:p>
        </w:tc>
        <w:tc>
          <w:tcPr>
            <w:tcW w:w="2976" w:type="dxa"/>
            <w:gridSpan w:val="5"/>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rPr>
              <w:t>吴迪  8212209</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958" w:type="dxa"/>
            <w:gridSpan w:val="2"/>
            <w:tcBorders>
              <w:top w:val="single" w:color="000000" w:sz="4" w:space="0"/>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主管部门</w:t>
            </w:r>
          </w:p>
        </w:tc>
        <w:tc>
          <w:tcPr>
            <w:tcW w:w="3082" w:type="dxa"/>
            <w:gridSpan w:val="5"/>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宋体" w:hAnsi="宋体"/>
                <w:sz w:val="21"/>
                <w:szCs w:val="21"/>
              </w:rPr>
              <w:t>呼伦贝尔市水利局</w:t>
            </w:r>
            <w:r>
              <w:rPr>
                <w:sz w:val="21"/>
                <w:szCs w:val="21"/>
              </w:rPr>
              <w:t> </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实施单位</w:t>
            </w:r>
          </w:p>
        </w:tc>
        <w:tc>
          <w:tcPr>
            <w:tcW w:w="2976" w:type="dxa"/>
            <w:gridSpan w:val="5"/>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t> </w:t>
            </w:r>
            <w:r>
              <w:rPr>
                <w:rFonts w:hint="eastAsia" w:ascii="宋体" w:hAnsi="宋体"/>
                <w:sz w:val="21"/>
                <w:szCs w:val="21"/>
              </w:rPr>
              <w:t>呼伦贝尔市水利局</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771" w:hRule="atLeast"/>
          <w:jc w:val="center"/>
        </w:trPr>
        <w:tc>
          <w:tcPr>
            <w:tcW w:w="958" w:type="dxa"/>
            <w:gridSpan w:val="2"/>
            <w:vMerge w:val="restart"/>
            <w:tcBorders>
              <w:top w:val="nil"/>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项目预算执行情况</w:t>
            </w:r>
            <w:r>
              <w:rPr>
                <w:sz w:val="21"/>
                <w:szCs w:val="21"/>
              </w:rPr>
              <w:t> </w:t>
            </w:r>
            <w:r>
              <w:rPr>
                <w:rFonts w:hint="eastAsia" w:ascii="仿宋_GB2312" w:eastAsia="仿宋_GB2312"/>
                <w:b/>
                <w:bCs/>
                <w:sz w:val="21"/>
                <w:szCs w:val="21"/>
              </w:rPr>
              <w:t>（万元）</w:t>
            </w:r>
          </w:p>
        </w:tc>
        <w:tc>
          <w:tcPr>
            <w:tcW w:w="1565"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21"/>
                <w:szCs w:val="21"/>
              </w:rPr>
              <w:t> </w:t>
            </w:r>
          </w:p>
        </w:tc>
        <w:tc>
          <w:tcPr>
            <w:tcW w:w="151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全年预算数（A）</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全年执行数（B）</w:t>
            </w:r>
          </w:p>
        </w:tc>
        <w:tc>
          <w:tcPr>
            <w:tcW w:w="863"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分值</w:t>
            </w:r>
          </w:p>
        </w:tc>
        <w:tc>
          <w:tcPr>
            <w:tcW w:w="1029"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执行率（B/A)</w:t>
            </w:r>
          </w:p>
        </w:tc>
        <w:tc>
          <w:tcPr>
            <w:tcW w:w="1084"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得分</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0" w:type="auto"/>
            <w:gridSpan w:val="2"/>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1565"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年度资金总额：</w:t>
            </w:r>
          </w:p>
        </w:tc>
        <w:tc>
          <w:tcPr>
            <w:tcW w:w="151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39</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39</w:t>
            </w:r>
          </w:p>
        </w:tc>
        <w:tc>
          <w:tcPr>
            <w:tcW w:w="863"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10</w:t>
            </w:r>
          </w:p>
        </w:tc>
        <w:tc>
          <w:tcPr>
            <w:tcW w:w="1029"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 xml:space="preserve"> 100%</w:t>
            </w:r>
          </w:p>
        </w:tc>
        <w:tc>
          <w:tcPr>
            <w:tcW w:w="1084"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 xml:space="preserve"> 10</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0" w:type="auto"/>
            <w:gridSpan w:val="2"/>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1565"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其中：财政拨款</w:t>
            </w:r>
          </w:p>
        </w:tc>
        <w:tc>
          <w:tcPr>
            <w:tcW w:w="151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39</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39</w:t>
            </w:r>
          </w:p>
        </w:tc>
        <w:tc>
          <w:tcPr>
            <w:tcW w:w="863"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w:t>
            </w:r>
          </w:p>
        </w:tc>
        <w:tc>
          <w:tcPr>
            <w:tcW w:w="1029"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 xml:space="preserve"> 100%</w:t>
            </w:r>
          </w:p>
        </w:tc>
        <w:tc>
          <w:tcPr>
            <w:tcW w:w="1084"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0" w:type="auto"/>
            <w:gridSpan w:val="2"/>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1565"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其他资金</w:t>
            </w:r>
          </w:p>
        </w:tc>
        <w:tc>
          <w:tcPr>
            <w:tcW w:w="151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21"/>
                <w:szCs w:val="21"/>
              </w:rPr>
              <w:t> </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21"/>
                <w:szCs w:val="21"/>
              </w:rPr>
              <w:t> </w:t>
            </w:r>
          </w:p>
        </w:tc>
        <w:tc>
          <w:tcPr>
            <w:tcW w:w="863"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w:t>
            </w:r>
          </w:p>
        </w:tc>
        <w:tc>
          <w:tcPr>
            <w:tcW w:w="1029"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21"/>
                <w:szCs w:val="21"/>
              </w:rPr>
              <w:t> </w:t>
            </w:r>
          </w:p>
        </w:tc>
        <w:tc>
          <w:tcPr>
            <w:tcW w:w="1084"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809" w:type="dxa"/>
            <w:vMerge w:val="restart"/>
            <w:tcBorders>
              <w:top w:val="nil"/>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年度总体目标完成情况</w:t>
            </w:r>
          </w:p>
        </w:tc>
        <w:tc>
          <w:tcPr>
            <w:tcW w:w="3232" w:type="dxa"/>
            <w:gridSpan w:val="6"/>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预期目标</w:t>
            </w:r>
          </w:p>
        </w:tc>
        <w:tc>
          <w:tcPr>
            <w:tcW w:w="4264" w:type="dxa"/>
            <w:gridSpan w:val="7"/>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目标实际完成情况</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948" w:hRule="atLeast"/>
          <w:jc w:val="center"/>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3232" w:type="dxa"/>
            <w:gridSpan w:val="6"/>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21"/>
                <w:szCs w:val="21"/>
              </w:rPr>
              <w:t xml:space="preserve"> 完成全市取水口调查工作，调查表、汇总表符合填表要求</w:t>
            </w:r>
          </w:p>
        </w:tc>
        <w:tc>
          <w:tcPr>
            <w:tcW w:w="4264" w:type="dxa"/>
            <w:gridSpan w:val="7"/>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rPr>
              <w:t>全部完成调查工作，上报自治区，自治区尚未完成审核工作</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809" w:type="dxa"/>
            <w:vMerge w:val="restart"/>
            <w:tcBorders>
              <w:top w:val="nil"/>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绩效指标</w:t>
            </w:r>
          </w:p>
        </w:tc>
        <w:tc>
          <w:tcPr>
            <w:tcW w:w="821"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一级指标</w:t>
            </w:r>
          </w:p>
        </w:tc>
        <w:tc>
          <w:tcPr>
            <w:tcW w:w="89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二级指标</w:t>
            </w:r>
          </w:p>
        </w:tc>
        <w:tc>
          <w:tcPr>
            <w:tcW w:w="100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三级指标</w:t>
            </w:r>
          </w:p>
        </w:tc>
        <w:tc>
          <w:tcPr>
            <w:tcW w:w="516"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分值</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预期指标值</w:t>
            </w:r>
          </w:p>
        </w:tc>
        <w:tc>
          <w:tcPr>
            <w:tcW w:w="107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实际完成指标值</w:t>
            </w:r>
          </w:p>
        </w:tc>
        <w:tc>
          <w:tcPr>
            <w:tcW w:w="607"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得分</w:t>
            </w:r>
          </w:p>
        </w:tc>
        <w:tc>
          <w:tcPr>
            <w:tcW w:w="1294"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未完成原因及拟采取的改进措施</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621" w:hRule="atLeast"/>
          <w:jc w:val="center"/>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21" w:type="dxa"/>
            <w:gridSpan w:val="2"/>
            <w:vMerge w:val="restart"/>
            <w:tcBorders>
              <w:top w:val="nil"/>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产出指标</w:t>
            </w:r>
            <w:r>
              <w:rPr>
                <w:sz w:val="21"/>
                <w:szCs w:val="21"/>
              </w:rPr>
              <w:t> </w:t>
            </w:r>
            <w:r>
              <w:rPr>
                <w:rFonts w:hint="eastAsia" w:ascii="仿宋_GB2312" w:eastAsia="仿宋_GB2312"/>
                <w:b/>
                <w:bCs/>
                <w:sz w:val="21"/>
                <w:szCs w:val="21"/>
              </w:rPr>
              <w:t>(50分)</w:t>
            </w:r>
          </w:p>
        </w:tc>
        <w:tc>
          <w:tcPr>
            <w:tcW w:w="89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数量指标</w:t>
            </w:r>
          </w:p>
        </w:tc>
        <w:tc>
          <w:tcPr>
            <w:tcW w:w="100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完成取水口调查数</w:t>
            </w:r>
          </w:p>
        </w:tc>
        <w:tc>
          <w:tcPr>
            <w:tcW w:w="516"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15</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9964</w:t>
            </w:r>
          </w:p>
        </w:tc>
        <w:tc>
          <w:tcPr>
            <w:tcW w:w="107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9964</w:t>
            </w:r>
          </w:p>
        </w:tc>
        <w:tc>
          <w:tcPr>
            <w:tcW w:w="607"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15</w:t>
            </w:r>
          </w:p>
        </w:tc>
        <w:tc>
          <w:tcPr>
            <w:tcW w:w="1294"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18"/>
                <w:szCs w:val="18"/>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619" w:hRule="atLeast"/>
          <w:jc w:val="center"/>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gridSpan w:val="2"/>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9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质量指标</w:t>
            </w:r>
          </w:p>
        </w:tc>
        <w:tc>
          <w:tcPr>
            <w:tcW w:w="100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取水口合格率</w:t>
            </w:r>
          </w:p>
        </w:tc>
        <w:tc>
          <w:tcPr>
            <w:tcW w:w="516"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15</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107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607"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15</w:t>
            </w:r>
          </w:p>
        </w:tc>
        <w:tc>
          <w:tcPr>
            <w:tcW w:w="1294"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18"/>
                <w:szCs w:val="18"/>
              </w:rPr>
              <w:t> </w:t>
            </w:r>
          </w:p>
        </w:tc>
        <w:tc>
          <w:tcPr>
            <w:tcW w:w="0" w:type="auto"/>
            <w:vAlign w:val="center"/>
          </w:tcPr>
          <w:p>
            <w:pPr>
              <w:jc w:val="both"/>
              <w:rPr>
                <w:rFonts w:ascii="Times New Roman" w:hAnsi="Times New Roman" w:eastAsia="Times New Roman" w:cs="Times New Roman"/>
                <w:sz w:val="20"/>
                <w:szCs w:val="20"/>
              </w:rPr>
            </w:pPr>
          </w:p>
        </w:tc>
      </w:tr>
      <w:tr>
        <w:trPr>
          <w:trHeight w:val="579" w:hRule="atLeast"/>
          <w:jc w:val="center"/>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gridSpan w:val="2"/>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9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时效指标</w:t>
            </w:r>
          </w:p>
        </w:tc>
        <w:tc>
          <w:tcPr>
            <w:tcW w:w="100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2020年12月底完成</w:t>
            </w:r>
          </w:p>
        </w:tc>
        <w:tc>
          <w:tcPr>
            <w:tcW w:w="516"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完成</w:t>
            </w:r>
          </w:p>
        </w:tc>
        <w:tc>
          <w:tcPr>
            <w:tcW w:w="107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未完成</w:t>
            </w:r>
          </w:p>
        </w:tc>
        <w:tc>
          <w:tcPr>
            <w:tcW w:w="607"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8</w:t>
            </w:r>
          </w:p>
        </w:tc>
        <w:tc>
          <w:tcPr>
            <w:tcW w:w="1294"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自治区没有审核完</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526" w:hRule="atLeast"/>
          <w:jc w:val="center"/>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gridSpan w:val="2"/>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9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成本指标</w:t>
            </w:r>
          </w:p>
        </w:tc>
        <w:tc>
          <w:tcPr>
            <w:tcW w:w="100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实际支付金额</w:t>
            </w:r>
          </w:p>
        </w:tc>
        <w:tc>
          <w:tcPr>
            <w:tcW w:w="516"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107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607"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w:t>
            </w:r>
          </w:p>
        </w:tc>
        <w:tc>
          <w:tcPr>
            <w:tcW w:w="1294"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18"/>
                <w:szCs w:val="18"/>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trHeight w:val="779" w:hRule="atLeast"/>
          <w:jc w:val="center"/>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21" w:type="dxa"/>
            <w:gridSpan w:val="2"/>
            <w:vMerge w:val="restart"/>
            <w:tcBorders>
              <w:top w:val="nil"/>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(30分)</w:t>
            </w:r>
            <w:r>
              <w:rPr>
                <w:sz w:val="21"/>
                <w:szCs w:val="21"/>
              </w:rPr>
              <w:t> </w:t>
            </w:r>
            <w:r>
              <w:rPr>
                <w:rFonts w:hint="eastAsia" w:ascii="仿宋_GB2312" w:eastAsia="仿宋_GB2312"/>
                <w:b/>
                <w:bCs/>
                <w:sz w:val="21"/>
                <w:szCs w:val="21"/>
              </w:rPr>
              <w:t>效益指标</w:t>
            </w:r>
          </w:p>
        </w:tc>
        <w:tc>
          <w:tcPr>
            <w:tcW w:w="89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经济效益指标</w:t>
            </w:r>
          </w:p>
        </w:tc>
        <w:tc>
          <w:tcPr>
            <w:tcW w:w="100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 xml:space="preserve"> 调查表是否符合要求</w:t>
            </w:r>
          </w:p>
        </w:tc>
        <w:tc>
          <w:tcPr>
            <w:tcW w:w="516"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 xml:space="preserve"> 10</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107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607"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w:t>
            </w:r>
          </w:p>
        </w:tc>
        <w:tc>
          <w:tcPr>
            <w:tcW w:w="1294"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18"/>
                <w:szCs w:val="18"/>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gridSpan w:val="2"/>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9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社会效益指标</w:t>
            </w:r>
          </w:p>
        </w:tc>
        <w:tc>
          <w:tcPr>
            <w:tcW w:w="100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 xml:space="preserve"> 调查存在违规问题的取水口数量</w:t>
            </w:r>
          </w:p>
        </w:tc>
        <w:tc>
          <w:tcPr>
            <w:tcW w:w="516"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 xml:space="preserve"> 10</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107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607"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w:t>
            </w:r>
          </w:p>
        </w:tc>
        <w:tc>
          <w:tcPr>
            <w:tcW w:w="1294"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18"/>
                <w:szCs w:val="18"/>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gridSpan w:val="2"/>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9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生态效益指标</w:t>
            </w:r>
          </w:p>
        </w:tc>
        <w:tc>
          <w:tcPr>
            <w:tcW w:w="100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 xml:space="preserve">  调查存在违规问题的取水户数量</w:t>
            </w:r>
          </w:p>
        </w:tc>
        <w:tc>
          <w:tcPr>
            <w:tcW w:w="516"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 xml:space="preserve"> 5</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107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607"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5</w:t>
            </w:r>
          </w:p>
        </w:tc>
        <w:tc>
          <w:tcPr>
            <w:tcW w:w="1294"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18"/>
                <w:szCs w:val="18"/>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0" w:type="auto"/>
            <w:gridSpan w:val="2"/>
            <w:vMerge w:val="continue"/>
            <w:tcBorders>
              <w:top w:val="nil"/>
              <w:left w:val="nil"/>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9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可持续影响指标</w:t>
            </w:r>
          </w:p>
        </w:tc>
        <w:tc>
          <w:tcPr>
            <w:tcW w:w="100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 xml:space="preserve"> 通过调查结果，进行整改提升阶段工作</w:t>
            </w:r>
          </w:p>
        </w:tc>
        <w:tc>
          <w:tcPr>
            <w:tcW w:w="516"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 xml:space="preserve"> 5</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107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607"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5</w:t>
            </w:r>
          </w:p>
        </w:tc>
        <w:tc>
          <w:tcPr>
            <w:tcW w:w="1294"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18"/>
                <w:szCs w:val="18"/>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0" w:type="auto"/>
            <w:vMerge w:val="continue"/>
            <w:tcBorders>
              <w:top w:val="nil"/>
              <w:left w:val="single" w:color="000000" w:sz="4" w:space="0"/>
              <w:bottom w:val="single" w:color="000000" w:sz="4" w:space="0"/>
              <w:right w:val="single" w:color="000000" w:sz="4" w:space="0"/>
            </w:tcBorders>
            <w:vAlign w:val="center"/>
          </w:tcPr>
          <w:p>
            <w:pPr>
              <w:jc w:val="both"/>
              <w:rPr>
                <w:rFonts w:ascii="Times New Roman" w:hAnsi="Times New Roman" w:cs="Times New Roman"/>
                <w:sz w:val="21"/>
                <w:szCs w:val="21"/>
              </w:rPr>
            </w:pPr>
          </w:p>
        </w:tc>
        <w:tc>
          <w:tcPr>
            <w:tcW w:w="821"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满意度指标(10分)</w:t>
            </w:r>
          </w:p>
        </w:tc>
        <w:tc>
          <w:tcPr>
            <w:tcW w:w="892"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服务对象满意度指标</w:t>
            </w:r>
          </w:p>
        </w:tc>
        <w:tc>
          <w:tcPr>
            <w:tcW w:w="1000"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 xml:space="preserve"> 满意程度</w:t>
            </w:r>
          </w:p>
        </w:tc>
        <w:tc>
          <w:tcPr>
            <w:tcW w:w="516"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 xml:space="preserve"> 10</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107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607"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w:t>
            </w:r>
          </w:p>
        </w:tc>
        <w:tc>
          <w:tcPr>
            <w:tcW w:w="1294" w:type="dxa"/>
            <w:gridSpan w:val="3"/>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sz w:val="18"/>
                <w:szCs w:val="18"/>
              </w:rPr>
              <w:t> </w:t>
            </w:r>
          </w:p>
        </w:tc>
        <w:tc>
          <w:tcPr>
            <w:tcW w:w="0" w:type="auto"/>
            <w:vAlign w:val="center"/>
          </w:tcPr>
          <w:p>
            <w:pPr>
              <w:jc w:val="both"/>
              <w:rPr>
                <w:rFonts w:ascii="Times New Roman" w:hAnsi="Times New Roman" w:eastAsia="Times New Roman" w:cs="Times New Roman"/>
                <w:sz w:val="20"/>
                <w:szCs w:val="20"/>
              </w:rPr>
            </w:pPr>
          </w:p>
        </w:tc>
      </w:tr>
      <w:tr>
        <w:tblPrEx>
          <w:tblCellMar>
            <w:top w:w="0" w:type="dxa"/>
            <w:left w:w="108" w:type="dxa"/>
            <w:bottom w:w="0" w:type="dxa"/>
            <w:right w:w="108" w:type="dxa"/>
          </w:tblCellMar>
        </w:tblPrEx>
        <w:trPr>
          <w:jc w:val="center"/>
        </w:trPr>
        <w:tc>
          <w:tcPr>
            <w:tcW w:w="2523" w:type="dxa"/>
            <w:gridSpan w:val="4"/>
            <w:tcBorders>
              <w:top w:val="single" w:color="000000" w:sz="4" w:space="0"/>
              <w:left w:val="single" w:color="000000" w:sz="4" w:space="0"/>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b/>
                <w:bCs/>
                <w:sz w:val="21"/>
                <w:szCs w:val="21"/>
              </w:rPr>
              <w:t>总分</w:t>
            </w:r>
          </w:p>
        </w:tc>
        <w:tc>
          <w:tcPr>
            <w:tcW w:w="151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100</w:t>
            </w:r>
          </w:p>
        </w:tc>
        <w:tc>
          <w:tcPr>
            <w:tcW w:w="1289"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 </w:t>
            </w:r>
          </w:p>
        </w:tc>
        <w:tc>
          <w:tcPr>
            <w:tcW w:w="1077"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 </w:t>
            </w:r>
          </w:p>
        </w:tc>
        <w:tc>
          <w:tcPr>
            <w:tcW w:w="607" w:type="dxa"/>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98</w:t>
            </w:r>
          </w:p>
        </w:tc>
        <w:tc>
          <w:tcPr>
            <w:tcW w:w="1292" w:type="dxa"/>
            <w:gridSpan w:val="2"/>
            <w:tcBorders>
              <w:top w:val="single" w:color="000000" w:sz="4" w:space="0"/>
              <w:left w:val="nil"/>
              <w:bottom w:val="single" w:color="000000" w:sz="4" w:space="0"/>
              <w:right w:val="single" w:color="000000" w:sz="4" w:space="0"/>
            </w:tcBorders>
            <w:vAlign w:val="center"/>
          </w:tcPr>
          <w:p>
            <w:pPr>
              <w:pStyle w:val="21"/>
              <w:autoSpaceDN w:val="0"/>
              <w:jc w:val="both"/>
              <w:rPr>
                <w:sz w:val="21"/>
                <w:szCs w:val="21"/>
              </w:rPr>
            </w:pPr>
            <w:r>
              <w:rPr>
                <w:rFonts w:hint="eastAsia" w:ascii="仿宋_GB2312" w:eastAsia="仿宋_GB2312"/>
                <w:sz w:val="18"/>
                <w:szCs w:val="18"/>
              </w:rPr>
              <w:t> </w:t>
            </w:r>
          </w:p>
        </w:tc>
        <w:tc>
          <w:tcPr>
            <w:tcW w:w="0" w:type="auto"/>
            <w:vAlign w:val="center"/>
          </w:tcPr>
          <w:p>
            <w:pPr>
              <w:jc w:val="both"/>
              <w:rPr>
                <w:rFonts w:ascii="Times New Roman" w:hAnsi="Times New Roman" w:eastAsia="Times New Roman" w:cs="Times New Roman"/>
                <w:sz w:val="20"/>
                <w:szCs w:val="20"/>
              </w:rPr>
            </w:pPr>
          </w:p>
        </w:tc>
        <w:tc>
          <w:tcPr>
            <w:tcW w:w="0" w:type="auto"/>
            <w:vAlign w:val="center"/>
          </w:tcPr>
          <w:p>
            <w:pPr>
              <w:jc w:val="both"/>
              <w:rPr>
                <w:rFonts w:ascii="Times New Roman" w:hAnsi="Times New Roman" w:eastAsia="Times New Roman" w:cs="Times New Roman"/>
                <w:sz w:val="20"/>
                <w:szCs w:val="20"/>
              </w:rPr>
            </w:pPr>
          </w:p>
        </w:tc>
      </w:tr>
    </w:tbl>
    <w:p>
      <w:pPr>
        <w:pStyle w:val="21"/>
        <w:autoSpaceDN w:val="0"/>
        <w:spacing w:line="580" w:lineRule="atLeast"/>
        <w:ind w:firstLine="600"/>
        <w:jc w:val="both"/>
      </w:pPr>
      <w:r>
        <w:t xml:space="preserve"> </w:t>
      </w:r>
    </w:p>
    <w:p>
      <w:pPr>
        <w:pStyle w:val="21"/>
        <w:autoSpaceDN w:val="0"/>
        <w:spacing w:line="580" w:lineRule="atLeast"/>
        <w:ind w:firstLine="600"/>
        <w:jc w:val="both"/>
      </w:pPr>
      <w:r>
        <w:rPr>
          <w:rFonts w:hint="eastAsia" w:ascii="仿宋_GB2312" w:eastAsia="仿宋_GB2312"/>
          <w:b/>
          <w:bCs/>
          <w:sz w:val="32"/>
          <w:szCs w:val="32"/>
        </w:rPr>
        <w:t>（三）部门评价项目绩效评价结果。</w:t>
      </w:r>
    </w:p>
    <w:p>
      <w:pPr>
        <w:pStyle w:val="21"/>
        <w:autoSpaceDN w:val="0"/>
        <w:spacing w:line="580" w:lineRule="atLeast"/>
        <w:ind w:firstLine="600"/>
        <w:jc w:val="both"/>
      </w:pPr>
      <w:r>
        <w:rPr>
          <w:rFonts w:hint="eastAsia" w:ascii="仿宋_GB2312" w:eastAsia="仿宋_GB2312"/>
          <w:sz w:val="32"/>
          <w:szCs w:val="32"/>
        </w:rPr>
        <w:t>以河湖水域岸线保护规划项目为例，该项目绩效评价综合得分为100分，绩效评价结果为</w:t>
      </w:r>
      <w:r>
        <w:rPr>
          <w:rFonts w:hint="eastAsia" w:eastAsia="仿宋_GB2312"/>
          <w:sz w:val="32"/>
          <w:szCs w:val="32"/>
        </w:rPr>
        <w:t>“</w:t>
      </w:r>
      <w:r>
        <w:rPr>
          <w:rFonts w:hint="eastAsia" w:ascii="仿宋_GB2312" w:eastAsia="仿宋_GB2312"/>
          <w:sz w:val="32"/>
          <w:szCs w:val="32"/>
        </w:rPr>
        <w:t>优</w:t>
      </w:r>
      <w:r>
        <w:rPr>
          <w:rFonts w:hint="eastAsia" w:eastAsia="仿宋_GB2312"/>
          <w:sz w:val="32"/>
          <w:szCs w:val="32"/>
        </w:rPr>
        <w:t>”</w:t>
      </w:r>
      <w:r>
        <w:rPr>
          <w:rFonts w:hint="eastAsia" w:ascii="仿宋_GB2312" w:eastAsia="仿宋_GB2312"/>
          <w:sz w:val="32"/>
          <w:szCs w:val="32"/>
        </w:rPr>
        <w:t>。重点项目绩效评价得分情况详见部门（单位）具体绩效评价结果。</w:t>
      </w:r>
    </w:p>
    <w:p>
      <w:pPr>
        <w:pStyle w:val="21"/>
        <w:autoSpaceDN w:val="0"/>
        <w:spacing w:line="580" w:lineRule="atLeast"/>
        <w:ind w:firstLine="600"/>
        <w:jc w:val="both"/>
      </w:pPr>
      <w:r>
        <w:rPr>
          <w:rFonts w:hint="eastAsia" w:ascii="仿宋_GB2312" w:eastAsia="仿宋_GB2312"/>
          <w:sz w:val="32"/>
          <w:szCs w:val="32"/>
        </w:rPr>
        <w:t>四、其他重要事项的情况说明</w:t>
      </w:r>
    </w:p>
    <w:p>
      <w:pPr>
        <w:pStyle w:val="21"/>
        <w:autoSpaceDN w:val="0"/>
        <w:spacing w:line="580" w:lineRule="atLeast"/>
        <w:ind w:firstLine="600"/>
        <w:jc w:val="both"/>
      </w:pPr>
      <w:r>
        <w:rPr>
          <w:rFonts w:hint="eastAsia" w:ascii="仿宋_GB2312" w:eastAsia="仿宋_GB2312"/>
          <w:sz w:val="32"/>
          <w:szCs w:val="32"/>
        </w:rPr>
        <w:t>（一）机关运行经费支出情况</w:t>
      </w:r>
    </w:p>
    <w:p>
      <w:pPr>
        <w:pStyle w:val="21"/>
        <w:autoSpaceDN w:val="0"/>
        <w:spacing w:line="580" w:lineRule="atLeast"/>
        <w:ind w:firstLine="600"/>
        <w:jc w:val="both"/>
      </w:pPr>
      <w:r>
        <w:rPr>
          <w:rFonts w:hint="eastAsia" w:ascii="仿宋_GB2312" w:eastAsia="仿宋_GB2312"/>
          <w:sz w:val="32"/>
          <w:szCs w:val="32"/>
        </w:rPr>
        <w:t>本部门2020年度机关运行经费支出142.70万元，比2019年减少43.33万元，降低23.30%。主要原因是：压减行政运行成本而减少机关运行费。</w:t>
      </w:r>
    </w:p>
    <w:p>
      <w:pPr>
        <w:pStyle w:val="21"/>
        <w:autoSpaceDN w:val="0"/>
        <w:spacing w:line="580" w:lineRule="atLeast"/>
        <w:ind w:firstLine="600"/>
        <w:jc w:val="both"/>
      </w:pPr>
      <w:r>
        <w:rPr>
          <w:rFonts w:hint="eastAsia" w:ascii="仿宋_GB2312" w:eastAsia="仿宋_GB2312"/>
          <w:sz w:val="32"/>
          <w:szCs w:val="32"/>
        </w:rPr>
        <w:t>（二）政府采购支出情况</w:t>
      </w:r>
    </w:p>
    <w:p>
      <w:pPr>
        <w:pStyle w:val="21"/>
        <w:autoSpaceDN w:val="0"/>
        <w:spacing w:line="580" w:lineRule="atLeast"/>
        <w:ind w:firstLine="600"/>
        <w:jc w:val="both"/>
      </w:pPr>
      <w:r>
        <w:rPr>
          <w:rFonts w:hint="eastAsia" w:ascii="仿宋_GB2312" w:eastAsia="仿宋_GB2312"/>
          <w:sz w:val="32"/>
          <w:szCs w:val="32"/>
        </w:rPr>
        <w:t>本部门2020年度政府采购支出合计647.92万元，其中：政府采购货物支出3.52万元，比2019年增加0.90万元，增长34.50%，主要原因是：本年增加了河湖水岸线规划和地下水规划政府购买服务项目支出；政府采购工程支出0.00万元，比2019年增加0.00万元，增长0.00%，主要原因是：本部门没有政府采购工程支出；政府采购服务支出644.40万元，比2019年增加641.95万元，增长26,202.00%，主要原因是：本年增加了河湖水岸线规划和地下水规划政府购买服务项目的政府采购支出。授予中小企业合同金额647.92万元，占政府采购支出合同总额的100%。其中：授予小微企业合同金额647.92万元，占政府采购支出合同总额的100%。</w:t>
      </w:r>
    </w:p>
    <w:p>
      <w:pPr>
        <w:pStyle w:val="21"/>
        <w:autoSpaceDN w:val="0"/>
        <w:spacing w:line="580" w:lineRule="atLeast"/>
        <w:ind w:firstLine="600"/>
        <w:jc w:val="both"/>
      </w:pPr>
      <w:r>
        <w:rPr>
          <w:rFonts w:hint="eastAsia" w:ascii="仿宋_GB2312" w:eastAsia="仿宋_GB2312"/>
          <w:sz w:val="32"/>
          <w:szCs w:val="32"/>
        </w:rPr>
        <w:t>（三）国有资产占用情况</w:t>
      </w:r>
    </w:p>
    <w:p>
      <w:pPr>
        <w:pStyle w:val="21"/>
        <w:autoSpaceDN w:val="0"/>
        <w:spacing w:line="580" w:lineRule="atLeast"/>
        <w:ind w:firstLine="600"/>
        <w:jc w:val="both"/>
      </w:pPr>
      <w:r>
        <w:rPr>
          <w:rFonts w:hint="eastAsia" w:ascii="仿宋_GB2312" w:eastAsia="仿宋_GB2312"/>
          <w:sz w:val="32"/>
          <w:szCs w:val="32"/>
        </w:rPr>
        <w:t>截至2020年12月31日，本部门共有车辆8辆，其中，副部（省）级及以上领导用车0辆,本部门没有此情况;主要领导干部用车0辆，本部门没有此情况;机要通信用车3辆，主要用于：国际界河等机要用车;应急保障用车0辆，本部门没有此情况;执法执勤用车1辆,主要用于：水利行政综合执法用车；特种专业技术用车1辆,主要用于：防汛抗旱业务工作；离退休干部用车0辆,本部门没有此情况；其他用车3辆，主要是用于事业单位业务工作用车。单位价值50万元以上通用设备0台（套），本部门没有此类设备，比2019年减少1</w:t>
      </w:r>
      <w:bookmarkStart w:id="0" w:name="_GoBack"/>
      <w:bookmarkEnd w:id="0"/>
      <w:r>
        <w:rPr>
          <w:rFonts w:hint="eastAsia" w:ascii="仿宋_GB2312" w:eastAsia="仿宋_GB2312"/>
          <w:sz w:val="32"/>
          <w:szCs w:val="32"/>
        </w:rPr>
        <w:t>台（套），主要原因是山洪灾害预警系统价值减少;单位价值100万元以上专用设备0台（套），本部门没有此类设备，比2019年增加0台（套），主要原因是本部门没有此类设备。</w:t>
      </w:r>
    </w:p>
    <w:p>
      <w:pPr>
        <w:pStyle w:val="21"/>
        <w:autoSpaceDN w:val="0"/>
        <w:spacing w:line="580" w:lineRule="atLeast"/>
        <w:ind w:firstLine="600"/>
        <w:jc w:val="both"/>
      </w:pPr>
      <w:r>
        <w:rPr>
          <w:rFonts w:hint="eastAsia" w:ascii="仿宋_GB2312" w:eastAsia="仿宋_GB2312"/>
          <w:sz w:val="32"/>
          <w:szCs w:val="32"/>
        </w:rPr>
        <w:t xml:space="preserve"> </w:t>
      </w:r>
    </w:p>
    <w:p>
      <w:pPr>
        <w:pStyle w:val="21"/>
        <w:autoSpaceDN w:val="0"/>
        <w:spacing w:line="580" w:lineRule="atLeast"/>
        <w:ind w:firstLine="600"/>
        <w:jc w:val="both"/>
      </w:pPr>
      <w:r>
        <w:rPr>
          <w:rFonts w:hint="eastAsia" w:ascii="仿宋_GB2312" w:eastAsia="仿宋_GB2312"/>
          <w:b/>
          <w:bCs/>
          <w:sz w:val="32"/>
          <w:szCs w:val="32"/>
        </w:rPr>
        <w:t>第三部分名词解释</w:t>
      </w:r>
    </w:p>
    <w:p>
      <w:pPr>
        <w:pStyle w:val="21"/>
        <w:autoSpaceDN w:val="0"/>
        <w:spacing w:line="580" w:lineRule="atLeast"/>
        <w:ind w:firstLine="600"/>
        <w:jc w:val="both"/>
      </w:pPr>
      <w:r>
        <w:rPr>
          <w:rFonts w:hint="eastAsia" w:ascii="仿宋_GB2312" w:eastAsia="仿宋_GB2312"/>
          <w:sz w:val="32"/>
          <w:szCs w:val="32"/>
        </w:rPr>
        <w:t>（一）财政拨款收入：指本年度从本级财政部门取得的财政拨款，包括一般公共预算财政拨款、政府性基金预算财政拨款和国有资本经营预算财政拨款。</w:t>
      </w:r>
    </w:p>
    <w:p>
      <w:pPr>
        <w:pStyle w:val="21"/>
        <w:autoSpaceDN w:val="0"/>
        <w:spacing w:line="580" w:lineRule="atLeast"/>
        <w:ind w:firstLine="600"/>
        <w:jc w:val="both"/>
      </w:pPr>
      <w:r>
        <w:rPr>
          <w:rFonts w:hint="eastAsia" w:ascii="仿宋_GB2312" w:eastAsia="仿宋_GB2312"/>
          <w:sz w:val="32"/>
          <w:szCs w:val="32"/>
        </w:rPr>
        <w:t>（二）事业收入：指事业单位开展专业业务活动及其辅助活动取得的收入；事业单位收到的财政专户实际核拨的教育收费等资金。</w:t>
      </w:r>
    </w:p>
    <w:p>
      <w:pPr>
        <w:pStyle w:val="21"/>
        <w:autoSpaceDN w:val="0"/>
        <w:spacing w:line="580" w:lineRule="atLeast"/>
        <w:ind w:firstLine="600"/>
        <w:jc w:val="both"/>
      </w:pPr>
      <w:r>
        <w:rPr>
          <w:rFonts w:hint="eastAsia" w:ascii="仿宋_GB2312" w:eastAsia="仿宋_GB2312"/>
          <w:sz w:val="32"/>
          <w:szCs w:val="32"/>
        </w:rPr>
        <w:t>（三）经营收入：指事业单位在专业业务活动及其辅助活动之外开展非独立核算经营活动取得的收入。</w:t>
      </w:r>
    </w:p>
    <w:p>
      <w:pPr>
        <w:pStyle w:val="21"/>
        <w:autoSpaceDN w:val="0"/>
        <w:spacing w:line="580" w:lineRule="atLeast"/>
        <w:ind w:firstLine="600"/>
        <w:jc w:val="both"/>
      </w:pPr>
      <w:r>
        <w:rPr>
          <w:rFonts w:hint="eastAsia" w:ascii="仿宋_GB2312" w:eastAsia="仿宋_GB2312"/>
          <w:sz w:val="32"/>
          <w:szCs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pStyle w:val="21"/>
        <w:autoSpaceDN w:val="0"/>
        <w:spacing w:line="580" w:lineRule="atLeast"/>
        <w:ind w:firstLine="600"/>
        <w:jc w:val="both"/>
      </w:pPr>
      <w:r>
        <w:rPr>
          <w:rFonts w:hint="eastAsia" w:ascii="仿宋_GB2312" w:eastAsia="仿宋_GB2312"/>
          <w:sz w:val="32"/>
          <w:szCs w:val="32"/>
        </w:rPr>
        <w:t>（五）使用非财政拨款结余：指事业单位使用以前年度积累的非财政拨款结余弥补当年收支差额的金额。</w:t>
      </w:r>
    </w:p>
    <w:p>
      <w:pPr>
        <w:pStyle w:val="21"/>
        <w:autoSpaceDN w:val="0"/>
        <w:spacing w:line="580" w:lineRule="atLeast"/>
        <w:ind w:firstLine="600"/>
        <w:jc w:val="both"/>
      </w:pPr>
      <w:r>
        <w:rPr>
          <w:rFonts w:hint="eastAsia" w:ascii="仿宋_GB2312" w:eastAsia="仿宋_GB2312"/>
          <w:sz w:val="32"/>
          <w:szCs w:val="32"/>
        </w:rPr>
        <w:t>（六）年初结转和结余：</w:t>
      </w:r>
      <w:r>
        <w:rPr>
          <w:rFonts w:hint="eastAsia" w:ascii="仿宋_GB2312" w:eastAsia="仿宋_GB2312"/>
          <w:sz w:val="32"/>
          <w:szCs w:val="32"/>
          <w:shd w:val="clear" w:color="auto" w:fill="FFFFFF"/>
        </w:rPr>
        <w:t>指以前年度支出预算因客观条件变化未执行完毕、结转到本年度按有关规定继续使用的资金。</w:t>
      </w:r>
    </w:p>
    <w:p>
      <w:pPr>
        <w:pStyle w:val="21"/>
        <w:autoSpaceDN w:val="0"/>
        <w:spacing w:line="580" w:lineRule="atLeast"/>
        <w:ind w:firstLine="600"/>
        <w:jc w:val="both"/>
      </w:pPr>
      <w:r>
        <w:rPr>
          <w:rFonts w:hint="eastAsia" w:ascii="仿宋_GB2312" w:eastAsia="仿宋_GB2312"/>
          <w:sz w:val="32"/>
          <w:szCs w:val="32"/>
        </w:rPr>
        <w:t>（七）结余分配</w:t>
      </w:r>
      <w:r>
        <w:rPr>
          <w:rFonts w:hint="eastAsia" w:ascii="仿宋_GB2312" w:eastAsia="仿宋_GB2312"/>
          <w:sz w:val="32"/>
          <w:szCs w:val="32"/>
          <w:shd w:val="clear" w:color="auto" w:fill="FFFFFF"/>
        </w:rPr>
        <w:t>：指事业单位按照会计制度规定缴纳的所得税以及从非财政拨款结余中提取的职工福利基金、事业基金等。</w:t>
      </w:r>
    </w:p>
    <w:p>
      <w:pPr>
        <w:pStyle w:val="21"/>
        <w:autoSpaceDN w:val="0"/>
        <w:spacing w:line="580" w:lineRule="atLeast"/>
        <w:ind w:firstLine="600"/>
        <w:jc w:val="both"/>
      </w:pPr>
      <w:r>
        <w:rPr>
          <w:rFonts w:hint="eastAsia" w:ascii="仿宋_GB2312" w:eastAsia="仿宋_GB2312"/>
          <w:sz w:val="32"/>
          <w:szCs w:val="32"/>
        </w:rPr>
        <w:t>（八）年末结转和结余</w:t>
      </w:r>
      <w:r>
        <w:rPr>
          <w:rFonts w:hint="eastAsia" w:ascii="仿宋_GB2312" w:eastAsia="仿宋_GB2312"/>
          <w:sz w:val="32"/>
          <w:szCs w:val="32"/>
          <w:shd w:val="clear" w:color="auto" w:fill="FFFFFF"/>
        </w:rPr>
        <w:t>：指单位本年度或以前年度预算安排、因客观条件发生变化未全部执行或未执行，结转到以后年度继续使用的资金，或项目已完成等产生的结余资金。</w:t>
      </w:r>
    </w:p>
    <w:p>
      <w:pPr>
        <w:pStyle w:val="21"/>
        <w:autoSpaceDN w:val="0"/>
        <w:spacing w:line="580" w:lineRule="atLeast"/>
        <w:ind w:firstLine="600"/>
        <w:jc w:val="both"/>
      </w:pPr>
      <w:r>
        <w:rPr>
          <w:rFonts w:hint="eastAsia" w:ascii="仿宋_GB2312" w:eastAsia="仿宋_GB2312"/>
          <w:sz w:val="32"/>
          <w:szCs w:val="32"/>
        </w:rPr>
        <w:t>（九）基本支出：指为保障机构正常运转、完成日常工作任务而发生的人员经费和公用经费。其中：人员经费指政府收支分类经济科目中的“工资福利支出</w:t>
      </w:r>
      <w:r>
        <w:rPr>
          <w:rFonts w:hint="eastAsia" w:eastAsia="仿宋_GB2312"/>
          <w:sz w:val="32"/>
          <w:szCs w:val="32"/>
        </w:rPr>
        <w:t>”</w:t>
      </w:r>
      <w:r>
        <w:rPr>
          <w:rFonts w:hint="eastAsia" w:ascii="仿宋_GB2312" w:eastAsia="仿宋_GB2312"/>
          <w:sz w:val="32"/>
          <w:szCs w:val="32"/>
        </w:rPr>
        <w:t>和</w:t>
      </w:r>
      <w:r>
        <w:rPr>
          <w:rFonts w:hint="eastAsia" w:eastAsia="仿宋_GB2312"/>
          <w:sz w:val="32"/>
          <w:szCs w:val="32"/>
        </w:rPr>
        <w:t>“</w:t>
      </w:r>
      <w:r>
        <w:rPr>
          <w:rFonts w:hint="eastAsia" w:ascii="仿宋_GB2312" w:eastAsia="仿宋_GB2312"/>
          <w:sz w:val="32"/>
          <w:szCs w:val="32"/>
        </w:rPr>
        <w:t>对个人和家庭的补助</w:t>
      </w:r>
      <w:r>
        <w:rPr>
          <w:rFonts w:hint="eastAsia" w:eastAsia="仿宋_GB2312"/>
          <w:sz w:val="32"/>
          <w:szCs w:val="32"/>
        </w:rPr>
        <w:t>”</w:t>
      </w:r>
      <w:r>
        <w:rPr>
          <w:rFonts w:hint="eastAsia" w:ascii="仿宋_GB2312" w:eastAsia="仿宋_GB2312"/>
          <w:sz w:val="32"/>
          <w:szCs w:val="32"/>
        </w:rPr>
        <w:t>；公用经费指政府收支分类经济科目中除</w:t>
      </w:r>
      <w:r>
        <w:rPr>
          <w:rFonts w:hint="eastAsia" w:eastAsia="仿宋_GB2312"/>
          <w:sz w:val="32"/>
          <w:szCs w:val="32"/>
        </w:rPr>
        <w:t>“</w:t>
      </w:r>
      <w:r>
        <w:rPr>
          <w:rFonts w:hint="eastAsia" w:ascii="仿宋_GB2312" w:eastAsia="仿宋_GB2312"/>
          <w:sz w:val="32"/>
          <w:szCs w:val="32"/>
        </w:rPr>
        <w:t>工资福利支出</w:t>
      </w:r>
      <w:r>
        <w:rPr>
          <w:rFonts w:hint="eastAsia" w:eastAsia="仿宋_GB2312"/>
          <w:sz w:val="32"/>
          <w:szCs w:val="32"/>
        </w:rPr>
        <w:t>”</w:t>
      </w:r>
      <w:r>
        <w:rPr>
          <w:rFonts w:hint="eastAsia" w:ascii="仿宋_GB2312" w:eastAsia="仿宋_GB2312"/>
          <w:sz w:val="32"/>
          <w:szCs w:val="32"/>
        </w:rPr>
        <w:t>和</w:t>
      </w:r>
      <w:r>
        <w:rPr>
          <w:rFonts w:hint="eastAsia" w:eastAsia="仿宋_GB2312"/>
          <w:sz w:val="32"/>
          <w:szCs w:val="32"/>
        </w:rPr>
        <w:t>“</w:t>
      </w:r>
      <w:r>
        <w:rPr>
          <w:rFonts w:hint="eastAsia" w:ascii="仿宋_GB2312" w:eastAsia="仿宋_GB2312"/>
          <w:sz w:val="32"/>
          <w:szCs w:val="32"/>
        </w:rPr>
        <w:t>对个人和家庭的补助</w:t>
      </w:r>
      <w:r>
        <w:rPr>
          <w:rFonts w:hint="eastAsia" w:eastAsia="仿宋_GB2312"/>
          <w:sz w:val="32"/>
          <w:szCs w:val="32"/>
        </w:rPr>
        <w:t>”</w:t>
      </w:r>
      <w:r>
        <w:rPr>
          <w:rFonts w:hint="eastAsia" w:ascii="仿宋_GB2312" w:eastAsia="仿宋_GB2312"/>
          <w:sz w:val="32"/>
          <w:szCs w:val="32"/>
        </w:rPr>
        <w:t>外的其他支出。</w:t>
      </w:r>
    </w:p>
    <w:p>
      <w:pPr>
        <w:pStyle w:val="21"/>
        <w:autoSpaceDN w:val="0"/>
        <w:spacing w:line="580" w:lineRule="atLeast"/>
        <w:ind w:firstLine="600"/>
        <w:jc w:val="both"/>
      </w:pPr>
      <w:r>
        <w:rPr>
          <w:rFonts w:hint="eastAsia" w:ascii="仿宋_GB2312" w:eastAsia="仿宋_GB2312"/>
          <w:sz w:val="32"/>
          <w:szCs w:val="32"/>
        </w:rPr>
        <w:t>（十）项目支出：指在基本支出之外为完成特定任务和事业发展目标所发生的支出。</w:t>
      </w:r>
    </w:p>
    <w:p>
      <w:pPr>
        <w:pStyle w:val="21"/>
        <w:autoSpaceDN w:val="0"/>
        <w:spacing w:line="580" w:lineRule="atLeast"/>
        <w:ind w:firstLine="600"/>
        <w:jc w:val="both"/>
      </w:pPr>
      <w:r>
        <w:rPr>
          <w:rFonts w:hint="eastAsia" w:ascii="仿宋_GB2312" w:eastAsia="仿宋_GB2312"/>
          <w:sz w:val="32"/>
          <w:szCs w:val="32"/>
        </w:rPr>
        <w:t>（十一）经营支出：指事业单位在专业业务活动及其辅助活动之外开展非独立核算经营活动发生的支出。</w:t>
      </w:r>
    </w:p>
    <w:p>
      <w:pPr>
        <w:pStyle w:val="21"/>
        <w:autoSpaceDN w:val="0"/>
        <w:spacing w:line="580" w:lineRule="atLeast"/>
        <w:ind w:firstLine="600"/>
        <w:jc w:val="both"/>
      </w:pPr>
      <w:r>
        <w:rPr>
          <w:rFonts w:hint="eastAsia" w:ascii="仿宋_GB2312" w:eastAsia="仿宋_GB2312"/>
          <w:sz w:val="32"/>
          <w:szCs w:val="32"/>
        </w:rPr>
        <w:t>（十二）“三公</w:t>
      </w:r>
      <w:r>
        <w:rPr>
          <w:rFonts w:hint="eastAsia" w:eastAsia="仿宋_GB2312"/>
          <w:sz w:val="32"/>
          <w:szCs w:val="32"/>
        </w:rPr>
        <w:t>”</w:t>
      </w:r>
      <w:r>
        <w:rPr>
          <w:rFonts w:hint="eastAsia" w:ascii="仿宋_GB2312" w:eastAsia="仿宋_GB2312"/>
          <w:sz w:val="32"/>
          <w:szCs w:val="32"/>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pStyle w:val="21"/>
        <w:autoSpaceDN w:val="0"/>
        <w:spacing w:line="580" w:lineRule="atLeast"/>
        <w:ind w:firstLine="600"/>
        <w:jc w:val="both"/>
      </w:pPr>
      <w:r>
        <w:rPr>
          <w:rFonts w:hint="eastAsia" w:ascii="仿宋_GB2312" w:eastAsia="仿宋_GB2312"/>
          <w:sz w:val="32"/>
          <w:szCs w:val="32"/>
        </w:rPr>
        <w:t>（十三）机关运行经费：指行政单位和参照公务员法管理的事业单位使用一般公共预算财政拨款安排的基本支出中的日常公用经费支出。未包含行政单位或参照公务员法管理事业单位的部门，参照此口径公开本部门的日常公用经费，并与预算公开保持一致。</w:t>
      </w:r>
    </w:p>
    <w:p>
      <w:pPr>
        <w:pStyle w:val="21"/>
        <w:autoSpaceDN w:val="0"/>
        <w:spacing w:line="580" w:lineRule="atLeast"/>
        <w:ind w:firstLine="600"/>
        <w:jc w:val="both"/>
      </w:pPr>
      <w:r>
        <w:rPr>
          <w:rFonts w:hint="eastAsia" w:ascii="仿宋_GB2312" w:eastAsia="仿宋_GB2312"/>
          <w:sz w:val="32"/>
          <w:szCs w:val="32"/>
        </w:rPr>
        <w:t>（十四）工资福利支出（支出经济分类科目类级）：反映单位开支的在职职工和编制外长期聘用人员的各类劳动报酬，以及为上述人员缴纳的各项社会保险费等。</w:t>
      </w:r>
    </w:p>
    <w:p>
      <w:pPr>
        <w:pStyle w:val="21"/>
        <w:autoSpaceDN w:val="0"/>
        <w:spacing w:line="580" w:lineRule="atLeast"/>
        <w:ind w:firstLine="600"/>
        <w:jc w:val="both"/>
      </w:pPr>
      <w:r>
        <w:rPr>
          <w:rFonts w:hint="eastAsia" w:ascii="仿宋_GB2312" w:eastAsia="仿宋_GB2312"/>
          <w:sz w:val="32"/>
          <w:szCs w:val="32"/>
        </w:rPr>
        <w:t>（十五）商品和服务支出（支出经济分类科目类级）：反映单位购买商品和服务的支出（不包括用于购置固定资产的支出、战略性和应急储备支出）。</w:t>
      </w:r>
    </w:p>
    <w:p>
      <w:pPr>
        <w:pStyle w:val="21"/>
        <w:autoSpaceDN w:val="0"/>
        <w:spacing w:line="580" w:lineRule="atLeast"/>
        <w:ind w:firstLine="600"/>
        <w:jc w:val="both"/>
      </w:pPr>
      <w:r>
        <w:rPr>
          <w:rFonts w:hint="eastAsia" w:ascii="仿宋_GB2312" w:eastAsia="仿宋_GB2312"/>
          <w:sz w:val="32"/>
          <w:szCs w:val="32"/>
        </w:rPr>
        <w:t>（十六）对个人和家庭的补助（支出经济分类科目类级）：反映用于对个人和家庭的补助支出。</w:t>
      </w:r>
    </w:p>
    <w:p>
      <w:pPr>
        <w:pStyle w:val="21"/>
        <w:autoSpaceDN w:val="0"/>
        <w:spacing w:line="580" w:lineRule="atLeast"/>
        <w:ind w:firstLine="600"/>
        <w:jc w:val="both"/>
      </w:pPr>
      <w:r>
        <w:rPr>
          <w:rFonts w:hint="eastAsia" w:ascii="仿宋_GB2312" w:eastAsia="仿宋_GB2312"/>
          <w:sz w:val="32"/>
          <w:szCs w:val="32"/>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pStyle w:val="21"/>
        <w:autoSpaceDN w:val="0"/>
        <w:spacing w:line="580" w:lineRule="atLeast"/>
        <w:ind w:firstLine="600"/>
        <w:jc w:val="both"/>
      </w:pPr>
      <w:r>
        <w:rPr>
          <w:rFonts w:hint="eastAsia" w:ascii="仿宋_GB2312" w:eastAsia="仿宋_GB2312"/>
          <w:sz w:val="32"/>
          <w:szCs w:val="32"/>
        </w:rPr>
        <w:t xml:space="preserve"> </w:t>
      </w:r>
    </w:p>
    <w:p>
      <w:pPr>
        <w:pStyle w:val="21"/>
        <w:autoSpaceDN w:val="0"/>
        <w:spacing w:line="580" w:lineRule="atLeast"/>
        <w:ind w:firstLine="600"/>
        <w:jc w:val="both"/>
      </w:pPr>
      <w:r>
        <w:rPr>
          <w:rFonts w:hint="eastAsia" w:ascii="仿宋_GB2312" w:eastAsia="仿宋_GB2312"/>
          <w:b/>
          <w:bCs/>
          <w:sz w:val="32"/>
          <w:szCs w:val="32"/>
        </w:rPr>
        <w:t>第四部分决算公开联系方式及信息反馈渠道</w:t>
      </w:r>
    </w:p>
    <w:p>
      <w:pPr>
        <w:pStyle w:val="21"/>
        <w:autoSpaceDN w:val="0"/>
        <w:spacing w:line="580" w:lineRule="atLeast"/>
        <w:ind w:firstLine="600"/>
        <w:jc w:val="both"/>
      </w:pPr>
      <w:r>
        <w:rPr>
          <w:rFonts w:hint="eastAsia" w:ascii="仿宋_GB2312" w:eastAsia="仿宋_GB2312"/>
          <w:sz w:val="32"/>
          <w:szCs w:val="32"/>
        </w:rPr>
        <w:t>本单位决算公开信息反馈和联系方式：</w:t>
      </w:r>
    </w:p>
    <w:p>
      <w:pPr>
        <w:pStyle w:val="21"/>
        <w:autoSpaceDN w:val="0"/>
        <w:spacing w:line="580" w:lineRule="atLeast"/>
        <w:ind w:firstLine="600"/>
        <w:jc w:val="both"/>
      </w:pPr>
      <w:r>
        <w:rPr>
          <w:rFonts w:hint="eastAsia" w:ascii="仿宋_GB2312" w:eastAsia="仿宋_GB2312"/>
          <w:sz w:val="32"/>
          <w:szCs w:val="32"/>
        </w:rPr>
        <w:t>联系人：吕凤兰   联系电话：0470-8212220</w:t>
      </w:r>
    </w:p>
    <w:p>
      <w:pPr>
        <w:pStyle w:val="21"/>
        <w:autoSpaceDN w:val="0"/>
        <w:jc w:val="both"/>
      </w:pPr>
      <w:r>
        <w:rPr>
          <w:rFonts w:hint="eastAsia" w:ascii="仿宋_GB2312" w:eastAsia="仿宋_GB2312"/>
          <w:b/>
          <w:bCs/>
          <w:sz w:val="36"/>
          <w:szCs w:val="36"/>
        </w:rPr>
        <w:t xml:space="preserve"> </w:t>
      </w:r>
    </w:p>
    <w:sectPr>
      <w:pgSz w:w="11906" w:h="16839"/>
      <w:pgMar w:top="1440" w:right="1800" w:bottom="1440" w:left="180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720"/>
  <w:drawingGridVerticalSpacing w:val="156"/>
  <w:displayHorizontalDrawingGridEvery w:val="0"/>
  <w:displayVerticalDrawingGridEvery w:val="2"/>
  <w:noPunctuationKerning w:val="1"/>
  <w:characterSpacingControl w:val="doNotCompress"/>
  <w:compat>
    <w:doNotSnapToGridInCell/>
    <w:doNotWrapTextWithPunct/>
    <w:doNotUseEastAsianBreakRules/>
    <w:growAutofit/>
    <w:useFELayout/>
    <w:compatSetting w:name="compatibilityMode" w:uri="http://schemas.microsoft.com/office/word" w:val="15"/>
    <w:compatSetting w:name="differentiateMultirowTableHeaders" w:uri="http://schemas.microsoft.com/office/word" w:val="1"/>
  </w:compat>
  <w:rsids>
    <w:rsidRoot w:val="00DF58B4"/>
    <w:rsid w:val="008B39FE"/>
    <w:rsid w:val="00DF58B4"/>
    <w:rsid w:val="02A72C1C"/>
    <w:rsid w:val="10A12E39"/>
    <w:rsid w:val="1F020960"/>
    <w:rsid w:val="53BF2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qFormat/>
    <w:uiPriority w:val="0"/>
    <w:pPr>
      <w:spacing w:before="100" w:beforeAutospacing="1" w:after="100" w:afterAutospacing="1"/>
      <w:outlineLvl w:val="0"/>
    </w:pPr>
    <w:rPr>
      <w:b/>
      <w:bCs/>
      <w:kern w:val="44"/>
      <w:sz w:val="48"/>
      <w:szCs w:val="48"/>
    </w:rPr>
  </w:style>
  <w:style w:type="paragraph" w:styleId="3">
    <w:name w:val="heading 2"/>
    <w:basedOn w:val="1"/>
    <w:next w:val="1"/>
    <w:qFormat/>
    <w:uiPriority w:val="0"/>
    <w:pPr>
      <w:spacing w:before="100" w:beforeAutospacing="1" w:after="100" w:afterAutospacing="1"/>
      <w:outlineLvl w:val="1"/>
    </w:pPr>
    <w:rPr>
      <w:b/>
      <w:bCs/>
      <w:sz w:val="36"/>
      <w:szCs w:val="36"/>
    </w:rPr>
  </w:style>
  <w:style w:type="paragraph" w:styleId="4">
    <w:name w:val="heading 3"/>
    <w:basedOn w:val="1"/>
    <w:next w:val="1"/>
    <w:qFormat/>
    <w:uiPriority w:val="0"/>
    <w:pPr>
      <w:spacing w:before="100" w:beforeAutospacing="1" w:after="100" w:afterAutospacing="1"/>
      <w:outlineLvl w:val="2"/>
    </w:pPr>
    <w:rPr>
      <w:b/>
      <w:bCs/>
      <w:sz w:val="27"/>
      <w:szCs w:val="27"/>
    </w:rPr>
  </w:style>
  <w:style w:type="paragraph" w:styleId="5">
    <w:name w:val="heading 4"/>
    <w:basedOn w:val="1"/>
    <w:next w:val="1"/>
    <w:qFormat/>
    <w:uiPriority w:val="0"/>
    <w:pPr>
      <w:spacing w:before="100" w:beforeAutospacing="1" w:after="100" w:afterAutospacing="1"/>
      <w:outlineLvl w:val="3"/>
    </w:pPr>
    <w:rPr>
      <w:b/>
      <w:bCs/>
    </w:rPr>
  </w:style>
  <w:style w:type="paragraph" w:styleId="6">
    <w:name w:val="heading 5"/>
    <w:basedOn w:val="1"/>
    <w:next w:val="1"/>
    <w:qFormat/>
    <w:uiPriority w:val="0"/>
    <w:pPr>
      <w:spacing w:before="100" w:beforeAutospacing="1" w:after="100" w:afterAutospacing="1"/>
      <w:outlineLvl w:val="4"/>
    </w:pPr>
    <w:rPr>
      <w:b/>
      <w:bCs/>
      <w:sz w:val="20"/>
      <w:szCs w:val="20"/>
    </w:rPr>
  </w:style>
  <w:style w:type="paragraph" w:styleId="7">
    <w:name w:val="heading 6"/>
    <w:basedOn w:val="1"/>
    <w:next w:val="1"/>
    <w:qFormat/>
    <w:uiPriority w:val="0"/>
    <w:pPr>
      <w:spacing w:before="100" w:beforeAutospacing="1" w:after="100" w:afterAutospacing="1"/>
      <w:outlineLvl w:val="5"/>
    </w:pPr>
    <w:rPr>
      <w:b/>
      <w:bCs/>
      <w:sz w:val="15"/>
      <w:szCs w:val="15"/>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8">
    <w:name w:val="footer"/>
    <w:basedOn w:val="1"/>
    <w:link w:val="24"/>
    <w:qFormat/>
    <w:uiPriority w:val="0"/>
    <w:pPr>
      <w:tabs>
        <w:tab w:val="center" w:pos="4153"/>
        <w:tab w:val="right" w:pos="8306"/>
      </w:tabs>
      <w:snapToGrid w:val="0"/>
    </w:pPr>
    <w:rPr>
      <w:sz w:val="18"/>
      <w:szCs w:val="18"/>
    </w:rPr>
  </w:style>
  <w:style w:type="paragraph" w:styleId="9">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10">
    <w:name w:val="HTML Preformatted"/>
    <w:basedOn w:val="1"/>
    <w:qFormat/>
    <w:uiPriority w:val="0"/>
  </w:style>
  <w:style w:type="paragraph" w:styleId="11">
    <w:name w:val="Normal (Web)"/>
    <w:basedOn w:val="1"/>
    <w:qFormat/>
    <w:uiPriority w:val="0"/>
    <w:pPr>
      <w:spacing w:before="100" w:beforeAutospacing="1" w:after="100" w:afterAutospacing="1"/>
    </w:pPr>
  </w:style>
  <w:style w:type="character" w:customStyle="1" w:styleId="14">
    <w:name w:val="标题 1 Char"/>
    <w:basedOn w:val="13"/>
    <w:qFormat/>
    <w:uiPriority w:val="0"/>
    <w:rPr>
      <w:rFonts w:ascii="宋体" w:hAnsi="宋体" w:eastAsia="宋体" w:cs="宋体"/>
      <w:b/>
      <w:bCs/>
      <w:kern w:val="44"/>
      <w:sz w:val="44"/>
      <w:szCs w:val="44"/>
    </w:rPr>
  </w:style>
  <w:style w:type="character" w:customStyle="1" w:styleId="15">
    <w:name w:val="标题 2 Char"/>
    <w:basedOn w:val="13"/>
    <w:qFormat/>
    <w:uiPriority w:val="0"/>
    <w:rPr>
      <w:rFonts w:asciiTheme="majorHAnsi" w:hAnsiTheme="majorHAnsi" w:eastAsiaTheme="majorEastAsia" w:cstheme="majorBidi"/>
      <w:b/>
      <w:bCs/>
      <w:sz w:val="32"/>
      <w:szCs w:val="32"/>
    </w:rPr>
  </w:style>
  <w:style w:type="character" w:customStyle="1" w:styleId="16">
    <w:name w:val="标题 3 Char"/>
    <w:basedOn w:val="13"/>
    <w:qFormat/>
    <w:uiPriority w:val="0"/>
    <w:rPr>
      <w:rFonts w:ascii="宋体" w:hAnsi="宋体" w:eastAsia="宋体" w:cs="宋体"/>
      <w:b/>
      <w:bCs/>
      <w:sz w:val="32"/>
      <w:szCs w:val="32"/>
    </w:rPr>
  </w:style>
  <w:style w:type="character" w:customStyle="1" w:styleId="17">
    <w:name w:val="标题 4 Char"/>
    <w:basedOn w:val="13"/>
    <w:qFormat/>
    <w:uiPriority w:val="0"/>
    <w:rPr>
      <w:rFonts w:asciiTheme="majorHAnsi" w:hAnsiTheme="majorHAnsi" w:eastAsiaTheme="majorEastAsia" w:cstheme="majorBidi"/>
      <w:b/>
      <w:bCs/>
      <w:sz w:val="28"/>
      <w:szCs w:val="28"/>
    </w:rPr>
  </w:style>
  <w:style w:type="character" w:customStyle="1" w:styleId="18">
    <w:name w:val="标题 5 Char"/>
    <w:basedOn w:val="13"/>
    <w:qFormat/>
    <w:uiPriority w:val="0"/>
    <w:rPr>
      <w:rFonts w:ascii="宋体" w:hAnsi="宋体" w:eastAsia="宋体" w:cs="宋体"/>
      <w:b/>
      <w:bCs/>
      <w:sz w:val="28"/>
      <w:szCs w:val="28"/>
    </w:rPr>
  </w:style>
  <w:style w:type="character" w:customStyle="1" w:styleId="19">
    <w:name w:val="标题 6 Char"/>
    <w:basedOn w:val="13"/>
    <w:qFormat/>
    <w:uiPriority w:val="0"/>
    <w:rPr>
      <w:rFonts w:asciiTheme="majorHAnsi" w:hAnsiTheme="majorHAnsi" w:eastAsiaTheme="majorEastAsia" w:cstheme="majorBidi"/>
      <w:b/>
      <w:bCs/>
      <w:sz w:val="24"/>
      <w:szCs w:val="24"/>
    </w:rPr>
  </w:style>
  <w:style w:type="character" w:customStyle="1" w:styleId="20">
    <w:name w:val="HTML 预设格式 Char"/>
    <w:basedOn w:val="13"/>
    <w:qFormat/>
    <w:uiPriority w:val="0"/>
    <w:rPr>
      <w:rFonts w:ascii="Courier New" w:hAnsi="Courier New" w:eastAsia="宋体" w:cs="Courier New"/>
    </w:rPr>
  </w:style>
  <w:style w:type="paragraph" w:customStyle="1" w:styleId="21">
    <w:name w:val="p0"/>
    <w:basedOn w:val="1"/>
    <w:qFormat/>
    <w:uiPriority w:val="0"/>
    <w:rPr>
      <w:rFonts w:ascii="Times New Roman" w:hAnsi="Times New Roman" w:cs="Times New Roman"/>
      <w:sz w:val="20"/>
      <w:szCs w:val="20"/>
    </w:rPr>
  </w:style>
  <w:style w:type="character" w:customStyle="1" w:styleId="22">
    <w:name w:val="10"/>
    <w:basedOn w:val="13"/>
    <w:qFormat/>
    <w:uiPriority w:val="0"/>
    <w:rPr>
      <w:rFonts w:hint="default" w:ascii="Times New Roman" w:hAnsi="Times New Roman" w:cs="Times New Roman"/>
    </w:rPr>
  </w:style>
  <w:style w:type="character" w:customStyle="1" w:styleId="23">
    <w:name w:val="页眉 Char"/>
    <w:basedOn w:val="13"/>
    <w:link w:val="9"/>
    <w:qFormat/>
    <w:uiPriority w:val="0"/>
    <w:rPr>
      <w:rFonts w:ascii="宋体" w:hAnsi="宋体" w:eastAsia="宋体" w:cs="宋体"/>
      <w:sz w:val="18"/>
      <w:szCs w:val="18"/>
    </w:rPr>
  </w:style>
  <w:style w:type="character" w:customStyle="1" w:styleId="24">
    <w:name w:val="页脚 Char"/>
    <w:basedOn w:val="13"/>
    <w:link w:val="8"/>
    <w:qFormat/>
    <w:uiPriority w:val="0"/>
    <w:rPr>
      <w:rFonts w:ascii="宋体" w:hAnsi="宋体" w:eastAsia="宋体" w:cs="宋体"/>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2145</Words>
  <Characters>12231</Characters>
  <Lines>101</Lines>
  <Paragraphs>28</Paragraphs>
  <TotalTime>9</TotalTime>
  <ScaleCrop>false</ScaleCrop>
  <LinksUpToDate>false</LinksUpToDate>
  <CharactersWithSpaces>14348</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2021-09-15T02:16:00Z</dcterms:created>
  <dc:creator>Administrator</dc:creator>
  <cp:lastModifiedBy>ws</cp:lastModifiedBy>
  <dcterms:modified xsi:type="dcterms:W3CDTF">2021-09-17T03:59:57Z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y fmtid="{D5CDD505-2E9C-101B-9397-08002B2CF9AE}" pid="3" name="ICV">
    <vt:lpwstr>4AB578EF8D0045FEB664516CBC9A5BC8</vt:lpwstr>
  </property>
</Properties>
</file>